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xml:space="preserve">, MCS6500 Microcomputer Family </w:t>
            </w:r>
            <w:r>
              <w:rPr>
                <w:rFonts w:ascii="Times New Roman" w:hAnsi="Times New Roman" w:cs="Times New Roman"/>
                <w:sz w:val="24"/>
                <w:szCs w:val="24"/>
              </w:rPr>
              <w:t>Programming</w:t>
            </w:r>
            <w:r>
              <w:rPr>
                <w:rFonts w:ascii="Times New Roman" w:hAnsi="Times New Roman" w:cs="Times New Roman"/>
                <w:sz w:val="24"/>
                <w:szCs w:val="24"/>
              </w:rPr>
              <w:t xml:space="preserve"> Manual - p. </w:t>
            </w:r>
            <w:r>
              <w:rPr>
                <w:rFonts w:ascii="Times New Roman" w:hAnsi="Times New Roman" w:cs="Times New Roman"/>
                <w:sz w:val="24"/>
                <w:szCs w:val="24"/>
              </w:rPr>
              <w:t>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xml:space="preserve">, MCS6500 Microcomputer Family Programming Manual - p. </w:t>
            </w:r>
            <w:r w:rsidR="007A659C">
              <w:rPr>
                <w:rFonts w:ascii="Times New Roman" w:hAnsi="Times New Roman" w:cs="Times New Roman"/>
                <w:sz w:val="24"/>
                <w:szCs w:val="24"/>
              </w:rPr>
              <w:t>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187CB64E"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w:t>
            </w:r>
            <w:r w:rsidR="007A659C">
              <w:rPr>
                <w:rFonts w:ascii="Times New Roman" w:hAnsi="Times New Roman" w:cs="Times New Roman"/>
                <w:sz w:val="24"/>
                <w:szCs w:val="24"/>
              </w:rPr>
              <w:t xml:space="preserve">-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MCS6500 Microcomputer Family</w:t>
            </w:r>
            <w:r w:rsidR="00CF7E7F">
              <w:rPr>
                <w:rFonts w:ascii="Times New Roman" w:hAnsi="Times New Roman" w:cs="Times New Roman"/>
                <w:sz w:val="24"/>
                <w:szCs w:val="24"/>
              </w:rPr>
              <w:t xml:space="preserve"> Programming Manual</w:t>
            </w:r>
            <w:r w:rsidR="00CF7E7F">
              <w:rPr>
                <w:rFonts w:ascii="Times New Roman" w:hAnsi="Times New Roman" w:cs="Times New Roman"/>
                <w:sz w:val="24"/>
                <w:szCs w:val="24"/>
              </w:rPr>
              <w:t xml:space="preserve"> </w:t>
            </w:r>
            <w:r w:rsidR="00CF7E7F">
              <w:rPr>
                <w:rFonts w:ascii="Times New Roman" w:hAnsi="Times New Roman" w:cs="Times New Roman"/>
                <w:sz w:val="24"/>
                <w:szCs w:val="24"/>
              </w:rPr>
              <w:t xml:space="preserve">-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w:t>
            </w:r>
            <w:r w:rsidR="00CF7E7F">
              <w:rPr>
                <w:rFonts w:ascii="Times New Roman" w:hAnsi="Times New Roman" w:cs="Times New Roman"/>
                <w:sz w:val="24"/>
                <w:szCs w:val="24"/>
              </w:rPr>
              <w:t xml:space="preserve">-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w:t>
            </w:r>
            <w:r w:rsidR="00CF7E7F">
              <w:rPr>
                <w:rFonts w:ascii="Times New Roman" w:hAnsi="Times New Roman" w:cs="Times New Roman"/>
                <w:sz w:val="24"/>
                <w:szCs w:val="24"/>
              </w:rPr>
              <w:t>MCS6500</w:t>
            </w:r>
            <w:r w:rsidR="00CF7E7F">
              <w:rPr>
                <w:rFonts w:ascii="Times New Roman" w:hAnsi="Times New Roman" w:cs="Times New Roman"/>
                <w:sz w:val="24"/>
                <w:szCs w:val="24"/>
              </w:rPr>
              <w:t xml:space="preserve"> </w:t>
            </w:r>
            <w:r w:rsidR="00CF7E7F">
              <w:rPr>
                <w:rFonts w:ascii="Times New Roman" w:hAnsi="Times New Roman" w:cs="Times New Roman"/>
                <w:sz w:val="24"/>
                <w:szCs w:val="24"/>
              </w:rPr>
              <w:t xml:space="preserve">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w:t>
            </w:r>
            <w:r w:rsidR="00CF7E7F">
              <w:rPr>
                <w:rFonts w:ascii="Times New Roman" w:hAnsi="Times New Roman" w:cs="Times New Roman"/>
                <w:sz w:val="24"/>
                <w:szCs w:val="24"/>
              </w:rPr>
              <w:t xml:space="preserve">MCS6500 Microcomputer Family </w:t>
            </w:r>
            <w:r w:rsidR="00CF7E7F">
              <w:rPr>
                <w:rFonts w:ascii="Times New Roman" w:hAnsi="Times New Roman" w:cs="Times New Roman"/>
                <w:sz w:val="24"/>
                <w:szCs w:val="24"/>
              </w:rPr>
              <w:t>Hardware</w:t>
            </w:r>
            <w:r w:rsidR="00CF7E7F">
              <w:rPr>
                <w:rFonts w:ascii="Times New Roman" w:hAnsi="Times New Roman" w:cs="Times New Roman"/>
                <w:sz w:val="24"/>
                <w:szCs w:val="24"/>
              </w:rPr>
              <w:t xml:space="preserv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MCS6500</w:t>
            </w:r>
            <w:r w:rsidR="00CF7E7F">
              <w:rPr>
                <w:rFonts w:ascii="Times New Roman" w:hAnsi="Times New Roman" w:cs="Times New Roman"/>
                <w:sz w:val="24"/>
                <w:szCs w:val="24"/>
              </w:rPr>
              <w:t xml:space="preserve"> </w:t>
            </w:r>
            <w:r w:rsidR="00CF7E7F">
              <w:rPr>
                <w:rFonts w:ascii="Times New Roman" w:hAnsi="Times New Roman" w:cs="Times New Roman"/>
                <w:sz w:val="24"/>
                <w:szCs w:val="24"/>
              </w:rPr>
              <w:t xml:space="preserve">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C91A7E" w14:paraId="7435899D" w14:textId="77777777" w:rsidTr="00E02B4E">
        <w:trPr>
          <w:trHeight w:val="260"/>
        </w:trPr>
        <w:tc>
          <w:tcPr>
            <w:tcW w:w="3525" w:type="dxa"/>
          </w:tcPr>
          <w:p w14:paraId="5253A30D" w14:textId="77777777" w:rsidR="00C91A7E" w:rsidRPr="00F14E9F" w:rsidRDefault="00C91A7E">
            <w:pPr>
              <w:rPr>
                <w:rFonts w:ascii="Times New Roman" w:hAnsi="Times New Roman" w:cs="Times New Roman"/>
                <w:sz w:val="24"/>
                <w:szCs w:val="24"/>
              </w:rPr>
            </w:pPr>
          </w:p>
        </w:tc>
        <w:tc>
          <w:tcPr>
            <w:tcW w:w="3525" w:type="dxa"/>
          </w:tcPr>
          <w:p w14:paraId="6DA2FC4B" w14:textId="77777777" w:rsidR="00C91A7E" w:rsidRPr="005A0A2B" w:rsidRDefault="00C91A7E">
            <w:pPr>
              <w:rPr>
                <w:rFonts w:ascii="Times New Roman" w:hAnsi="Times New Roman" w:cs="Times New Roman"/>
                <w:sz w:val="24"/>
                <w:szCs w:val="24"/>
              </w:rPr>
            </w:pPr>
          </w:p>
        </w:tc>
        <w:tc>
          <w:tcPr>
            <w:tcW w:w="3526" w:type="dxa"/>
          </w:tcPr>
          <w:p w14:paraId="20B5A988" w14:textId="77777777" w:rsidR="00C91A7E" w:rsidRPr="00F14E9F" w:rsidRDefault="00C91A7E">
            <w:pPr>
              <w:rPr>
                <w:rFonts w:ascii="Times New Roman" w:hAnsi="Times New Roman" w:cs="Times New Roman"/>
                <w:sz w:val="24"/>
                <w:szCs w:val="24"/>
              </w:rPr>
            </w:pPr>
          </w:p>
        </w:tc>
      </w:tr>
    </w:tbl>
    <w:p w14:paraId="6AAD5A04" w14:textId="48AF6433" w:rsidR="00E02B4E" w:rsidRDefault="003A0793">
      <w:r>
        <w:t xml:space="preserve"> </w:t>
      </w:r>
    </w:p>
    <w:p w14:paraId="247FCC34" w14:textId="070E91D4" w:rsidR="003A0793" w:rsidRDefault="003A0793">
      <w:hyperlink r:id="rId4" w:anchor="Large-scale_integration_(LSI)" w:history="1">
        <w:r w:rsidRPr="006613B8">
          <w:rPr>
            <w:rStyle w:val="Hyperlink"/>
          </w:rPr>
          <w:t>https://en.wikipedia.org/wiki/Integrated_circuit#Large-scale_integration_(LSI)</w:t>
        </w:r>
      </w:hyperlink>
    </w:p>
    <w:p w14:paraId="48CDA4CE" w14:textId="1B6CE65E" w:rsidR="003A0793" w:rsidRDefault="003A0793">
      <w:hyperlink r:id="rId5" w:history="1">
        <w:r w:rsidRPr="006613B8">
          <w:rPr>
            <w:rStyle w:val="Hyperlink"/>
          </w:rPr>
          <w:t>https://en.wikipedia.org/wiki/General_Instrument_CP1600</w:t>
        </w:r>
      </w:hyperlink>
    </w:p>
    <w:p w14:paraId="6099E70D" w14:textId="04FAED3D" w:rsidR="003A0793" w:rsidRDefault="003A0793">
      <w:hyperlink r:id="rId6" w:anchor="Design_notes" w:history="1">
        <w:r w:rsidRPr="006613B8">
          <w:rPr>
            <w:rStyle w:val="Hyperlink"/>
          </w:rPr>
          <w:t>https://en.wikipedia.org/wiki/MOS_Technology_6502#Design_notes</w:t>
        </w:r>
      </w:hyperlink>
    </w:p>
    <w:p w14:paraId="505E3BA9" w14:textId="4BF50D0C" w:rsidR="003A0793" w:rsidRDefault="003A0793">
      <w:hyperlink r:id="rId7" w:history="1">
        <w:r w:rsidRPr="006613B8">
          <w:rPr>
            <w:rStyle w:val="Hyperlink"/>
          </w:rPr>
          <w:t>https://en.wikipedia.org/wiki/Depletion-load_NMOS_logic</w:t>
        </w:r>
      </w:hyperlink>
      <w:r>
        <w:t xml:space="preserve"> </w:t>
      </w:r>
    </w:p>
    <w:p w14:paraId="300D169F" w14:textId="187DE1F3" w:rsidR="00317F0C" w:rsidRDefault="00317F0C">
      <w:hyperlink r:id="rId8" w:history="1">
        <w:r w:rsidRPr="006613B8">
          <w:rPr>
            <w:rStyle w:val="Hyperlink"/>
          </w:rPr>
          <w:t>https://en.wikipedia.org/wiki/Depletion_and_enhancement_modes</w:t>
        </w:r>
      </w:hyperlink>
      <w:r>
        <w:t xml:space="preserve"> </w:t>
      </w:r>
    </w:p>
    <w:p w14:paraId="417A74BB" w14:textId="5B424CB2" w:rsidR="003312F3" w:rsidRDefault="003312F3">
      <w:hyperlink r:id="rId9" w:history="1">
        <w:r w:rsidRPr="00A07E18">
          <w:rPr>
            <w:rStyle w:val="Hyperlink"/>
          </w:rPr>
          <w:t>https://en.wikipedia.org/wiki/Apple_I</w:t>
        </w:r>
      </w:hyperlink>
    </w:p>
    <w:p w14:paraId="76E7B234" w14:textId="4FF993A9" w:rsidR="009A5499" w:rsidRDefault="009A5499">
      <w:hyperlink r:id="rId10" w:history="1">
        <w:r w:rsidRPr="00A07E18">
          <w:rPr>
            <w:rStyle w:val="Hyperlink"/>
          </w:rPr>
          <w:t>https://lt.wikipedia.org/wiki/Intellivision</w:t>
        </w:r>
      </w:hyperlink>
      <w:r>
        <w:t xml:space="preserve"> </w:t>
      </w:r>
    </w:p>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B3663"/>
    <w:rsid w:val="000D5C0F"/>
    <w:rsid w:val="000D68E4"/>
    <w:rsid w:val="001307A9"/>
    <w:rsid w:val="001A334E"/>
    <w:rsid w:val="001E6543"/>
    <w:rsid w:val="00210691"/>
    <w:rsid w:val="00251FE4"/>
    <w:rsid w:val="002955B7"/>
    <w:rsid w:val="002F07F3"/>
    <w:rsid w:val="002F3648"/>
    <w:rsid w:val="00300240"/>
    <w:rsid w:val="00317F0C"/>
    <w:rsid w:val="003312F3"/>
    <w:rsid w:val="00374552"/>
    <w:rsid w:val="003759E8"/>
    <w:rsid w:val="003A0793"/>
    <w:rsid w:val="004738CB"/>
    <w:rsid w:val="00474B70"/>
    <w:rsid w:val="00495C18"/>
    <w:rsid w:val="004F5571"/>
    <w:rsid w:val="004F7DAF"/>
    <w:rsid w:val="00500561"/>
    <w:rsid w:val="00561534"/>
    <w:rsid w:val="005A0A2B"/>
    <w:rsid w:val="005C045C"/>
    <w:rsid w:val="006509BA"/>
    <w:rsid w:val="006533BF"/>
    <w:rsid w:val="006A78AD"/>
    <w:rsid w:val="006F52F6"/>
    <w:rsid w:val="00783696"/>
    <w:rsid w:val="007A659C"/>
    <w:rsid w:val="007B7885"/>
    <w:rsid w:val="007E0977"/>
    <w:rsid w:val="007E3A7B"/>
    <w:rsid w:val="008875B2"/>
    <w:rsid w:val="00891391"/>
    <w:rsid w:val="009221DA"/>
    <w:rsid w:val="00976D31"/>
    <w:rsid w:val="009A5499"/>
    <w:rsid w:val="009F27D8"/>
    <w:rsid w:val="00A6645F"/>
    <w:rsid w:val="00B87E09"/>
    <w:rsid w:val="00B936AD"/>
    <w:rsid w:val="00BB7AA0"/>
    <w:rsid w:val="00BE1A53"/>
    <w:rsid w:val="00C619E4"/>
    <w:rsid w:val="00C91A7E"/>
    <w:rsid w:val="00CF294B"/>
    <w:rsid w:val="00CF7E7F"/>
    <w:rsid w:val="00D21A18"/>
    <w:rsid w:val="00D8326A"/>
    <w:rsid w:val="00E02B4E"/>
    <w:rsid w:val="00F14E9F"/>
    <w:rsid w:val="00F73F65"/>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_and_enhancement_modes" TargetMode="External"/><Relationship Id="rId3" Type="http://schemas.openxmlformats.org/officeDocument/2006/relationships/webSettings" Target="webSettings.xml"/><Relationship Id="rId7" Type="http://schemas.openxmlformats.org/officeDocument/2006/relationships/hyperlink" Target="https://en.wikipedia.org/wiki/Depletion-load_NMOS_logi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S_Technology_6502" TargetMode="External"/><Relationship Id="rId11" Type="http://schemas.openxmlformats.org/officeDocument/2006/relationships/fontTable" Target="fontTable.xml"/><Relationship Id="rId5" Type="http://schemas.openxmlformats.org/officeDocument/2006/relationships/hyperlink" Target="https://en.wikipedia.org/wiki/General_Instrument_CP1600" TargetMode="External"/><Relationship Id="rId10" Type="http://schemas.openxmlformats.org/officeDocument/2006/relationships/hyperlink" Target="https://lt.wikipedia.org/wiki/Intellivision" TargetMode="External"/><Relationship Id="rId4" Type="http://schemas.openxmlformats.org/officeDocument/2006/relationships/hyperlink" Target="https://en.wikipedia.org/wiki/Integrated_circuit" TargetMode="External"/><Relationship Id="rId9" Type="http://schemas.openxmlformats.org/officeDocument/2006/relationships/hyperlink" Target="https://en.wikipedia.org/wiki/Apple_I"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3</Pages>
  <Words>5151</Words>
  <Characters>2937</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7</cp:revision>
  <dcterms:created xsi:type="dcterms:W3CDTF">2024-11-28T15:10:00Z</dcterms:created>
  <dcterms:modified xsi:type="dcterms:W3CDTF">2024-12-05T12:08:00Z</dcterms:modified>
</cp:coreProperties>
</file>