
<file path=[Content_Types].xml><?xml version="1.0" encoding="utf-8"?>
<Types xmlns="http://schemas.openxmlformats.org/package/2006/content-types">
  <Default Extension="bmp" ContentType="image/bmp"/>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11199" w:type="dxa"/>
        <w:tblInd w:w="-176" w:type="dxa"/>
        <w:tblLook w:val="04A0" w:firstRow="1" w:lastRow="0" w:firstColumn="1" w:lastColumn="0" w:noHBand="0" w:noVBand="1"/>
      </w:tblPr>
      <w:tblGrid>
        <w:gridCol w:w="2411"/>
        <w:gridCol w:w="5670"/>
        <w:gridCol w:w="3118"/>
      </w:tblGrid>
      <w:tr w:rsidR="008A39FB" w:rsidTr="00C100AD">
        <w:tc>
          <w:tcPr>
            <w:tcW w:w="2411" w:type="dxa"/>
          </w:tcPr>
          <w:p w:rsidR="008A39FB" w:rsidRDefault="008A39FB">
            <w:r>
              <w:t xml:space="preserve">Nr ćwiczenia: </w:t>
            </w:r>
          </w:p>
          <w:p w:rsidR="008A39FB" w:rsidRDefault="00C035EF">
            <w:r>
              <w:t>3</w:t>
            </w:r>
          </w:p>
        </w:tc>
        <w:tc>
          <w:tcPr>
            <w:tcW w:w="5670" w:type="dxa"/>
          </w:tcPr>
          <w:p w:rsidR="008A39FB" w:rsidRDefault="008A39FB">
            <w:r>
              <w:t>Nazwisko i Imię:</w:t>
            </w:r>
          </w:p>
          <w:p w:rsidR="008A39FB" w:rsidRDefault="008A39FB" w:rsidP="008A5597"/>
        </w:tc>
        <w:tc>
          <w:tcPr>
            <w:tcW w:w="3118" w:type="dxa"/>
          </w:tcPr>
          <w:p w:rsidR="008A39FB" w:rsidRDefault="008A39FB">
            <w:r>
              <w:t>Prowadzący:</w:t>
            </w:r>
          </w:p>
          <w:p w:rsidR="00C035EF" w:rsidRPr="00C035EF" w:rsidRDefault="00C035EF">
            <w:pPr>
              <w:rPr>
                <w:b/>
              </w:rPr>
            </w:pPr>
            <w:r w:rsidRPr="00C035EF">
              <w:rPr>
                <w:b/>
              </w:rPr>
              <w:t>Dr inż. Marcin Goły</w:t>
            </w:r>
          </w:p>
        </w:tc>
      </w:tr>
      <w:tr w:rsidR="008A39FB" w:rsidTr="00C100AD">
        <w:tc>
          <w:tcPr>
            <w:tcW w:w="2411" w:type="dxa"/>
          </w:tcPr>
          <w:p w:rsidR="008A39FB" w:rsidRDefault="008A39FB">
            <w:r>
              <w:t>Data ćwiczenia:</w:t>
            </w:r>
          </w:p>
          <w:p w:rsidR="008A39FB" w:rsidRDefault="008A39FB"/>
        </w:tc>
        <w:tc>
          <w:tcPr>
            <w:tcW w:w="5670" w:type="dxa"/>
            <w:vMerge w:val="restart"/>
          </w:tcPr>
          <w:p w:rsidR="008A39FB" w:rsidRDefault="008A39FB">
            <w:r>
              <w:t>Temat ćwiczenia:</w:t>
            </w:r>
          </w:p>
          <w:p w:rsidR="008A39FB" w:rsidRDefault="008A39FB" w:rsidP="00C035EF">
            <w:pPr>
              <w:jc w:val="center"/>
            </w:pPr>
          </w:p>
          <w:p w:rsidR="008A39FB" w:rsidRDefault="00C035EF" w:rsidP="00C035EF">
            <w:pPr>
              <w:jc w:val="center"/>
            </w:pPr>
            <w:r>
              <w:t>„</w:t>
            </w:r>
            <w:r w:rsidRPr="00C035EF">
              <w:rPr>
                <w:b/>
              </w:rPr>
              <w:t>Badanie hartowności stali”</w:t>
            </w:r>
          </w:p>
        </w:tc>
        <w:tc>
          <w:tcPr>
            <w:tcW w:w="3118" w:type="dxa"/>
            <w:vMerge w:val="restart"/>
          </w:tcPr>
          <w:p w:rsidR="008A39FB" w:rsidRDefault="008A39FB">
            <w:r>
              <w:t>Ocena:</w:t>
            </w:r>
          </w:p>
        </w:tc>
      </w:tr>
      <w:tr w:rsidR="008A39FB" w:rsidTr="00C100AD">
        <w:tc>
          <w:tcPr>
            <w:tcW w:w="2411" w:type="dxa"/>
          </w:tcPr>
          <w:p w:rsidR="008A39FB" w:rsidRDefault="008A39FB">
            <w:r>
              <w:t>Rok, zespół laboratoryjny:</w:t>
            </w:r>
          </w:p>
          <w:p w:rsidR="008A39FB" w:rsidRDefault="008A39FB"/>
        </w:tc>
        <w:tc>
          <w:tcPr>
            <w:tcW w:w="5670" w:type="dxa"/>
            <w:vMerge/>
          </w:tcPr>
          <w:p w:rsidR="008A39FB" w:rsidRDefault="008A39FB"/>
        </w:tc>
        <w:tc>
          <w:tcPr>
            <w:tcW w:w="3118" w:type="dxa"/>
            <w:vMerge/>
          </w:tcPr>
          <w:p w:rsidR="008A39FB" w:rsidRDefault="008A39FB"/>
        </w:tc>
      </w:tr>
      <w:tr w:rsidR="008A39FB" w:rsidTr="00C100AD">
        <w:tc>
          <w:tcPr>
            <w:tcW w:w="11199" w:type="dxa"/>
            <w:gridSpan w:val="3"/>
          </w:tcPr>
          <w:p w:rsidR="008A39FB" w:rsidRDefault="008A39FB" w:rsidP="00181936">
            <w:r>
              <w:t>1.Cel ćwiczenia:</w:t>
            </w:r>
          </w:p>
          <w:p w:rsidR="00181936" w:rsidRDefault="00181936" w:rsidP="00181936"/>
          <w:p w:rsidR="00181936" w:rsidRDefault="00181936" w:rsidP="00181936">
            <w:r>
              <w:t>Celem ćwiczenia jest zapoznanie się ze sposobami obliczania hartowności poszczególnych metali oraz wykorzystywanie wyników badań hartowności do oszacowania rozkładu twardości na przekroju pręta chłodzonego w ośrodku o podanej intensywności chłodzenia.</w:t>
            </w:r>
          </w:p>
          <w:p w:rsidR="00181936" w:rsidRPr="00181936" w:rsidRDefault="00181936" w:rsidP="00181936"/>
        </w:tc>
      </w:tr>
      <w:tr w:rsidR="008A39FB" w:rsidTr="00C100AD">
        <w:tc>
          <w:tcPr>
            <w:tcW w:w="11199" w:type="dxa"/>
            <w:gridSpan w:val="3"/>
          </w:tcPr>
          <w:p w:rsidR="008A39FB" w:rsidRDefault="008A39FB">
            <w:r>
              <w:t xml:space="preserve">2. </w:t>
            </w:r>
            <w:r w:rsidR="00181936">
              <w:t>Wstęp teoretyczny</w:t>
            </w:r>
          </w:p>
          <w:p w:rsidR="008A39FB" w:rsidRDefault="008A39FB"/>
          <w:p w:rsidR="008A39FB" w:rsidRDefault="008A39FB"/>
          <w:p w:rsidR="004261A4" w:rsidRDefault="00181936">
            <w:r w:rsidRPr="004E11FE">
              <w:rPr>
                <w:b/>
              </w:rPr>
              <w:t>Hartowanie</w:t>
            </w:r>
            <w:r>
              <w:t xml:space="preserve"> -  proces którego efektem końcowym jest metal o strukturze </w:t>
            </w:r>
            <w:proofErr w:type="spellStart"/>
            <w:r>
              <w:t>martenzytycznej</w:t>
            </w:r>
            <w:proofErr w:type="spellEnd"/>
            <w:r>
              <w:t xml:space="preserve"> bądź </w:t>
            </w:r>
            <w:proofErr w:type="spellStart"/>
            <w:r>
              <w:t>bainitycznej</w:t>
            </w:r>
            <w:proofErr w:type="spellEnd"/>
            <w:r>
              <w:t xml:space="preserve">. Wyróżnia się dwa rodzaje hartowania: </w:t>
            </w:r>
            <w:r w:rsidRPr="00181936">
              <w:rPr>
                <w:b/>
              </w:rPr>
              <w:t>objętościowe</w:t>
            </w:r>
            <w:r>
              <w:t xml:space="preserve"> i </w:t>
            </w:r>
            <w:r w:rsidRPr="00181936">
              <w:rPr>
                <w:b/>
              </w:rPr>
              <w:t>powierzchniowe</w:t>
            </w:r>
            <w:r>
              <w:t xml:space="preserve">. </w:t>
            </w:r>
          </w:p>
          <w:p w:rsidR="004261A4" w:rsidRDefault="004261A4"/>
          <w:p w:rsidR="008A39FB" w:rsidRPr="004261A4" w:rsidRDefault="004E11FE">
            <w:pPr>
              <w:rPr>
                <w:b/>
              </w:rPr>
            </w:pPr>
            <w:r w:rsidRPr="004261A4">
              <w:rPr>
                <w:b/>
              </w:rPr>
              <w:t>Objętościowe</w:t>
            </w:r>
            <w:r>
              <w:t xml:space="preserve"> natomiast dzielimy na zwykłe, stopniowe, przerywane i izotermiczne. </w:t>
            </w:r>
            <w:r w:rsidRPr="004E11FE">
              <w:rPr>
                <w:b/>
              </w:rPr>
              <w:t>Zwykłe</w:t>
            </w:r>
            <w:r>
              <w:t xml:space="preserve"> polega na chłodzeniu nagrzanej stali z szybkością większą od krytycznej w cieczy o temperaturze pokojowej. </w:t>
            </w:r>
            <w:r w:rsidRPr="004E11FE">
              <w:rPr>
                <w:b/>
              </w:rPr>
              <w:t>Stopniowe</w:t>
            </w:r>
            <w:r>
              <w:t xml:space="preserve"> polega na początkowym chłodzeniu z szybkością większą od krytycznej w cieczy o temperaturze większej od M</w:t>
            </w:r>
            <w:r>
              <w:softHyphen/>
            </w:r>
            <w:r>
              <w:rPr>
                <w:vertAlign w:val="subscript"/>
              </w:rPr>
              <w:t>S</w:t>
            </w:r>
            <w:r>
              <w:t xml:space="preserve">. </w:t>
            </w:r>
            <w:r w:rsidRPr="004E11FE">
              <w:rPr>
                <w:b/>
              </w:rPr>
              <w:t>Przerywane</w:t>
            </w:r>
            <w:r>
              <w:t xml:space="preserve"> polega na chłodzeniu materiału w dwóch ośrodkach chłodzących, najpopularniejszymi ośrodkami poza powietrzem są woda i olej. </w:t>
            </w:r>
            <w:proofErr w:type="spellStart"/>
            <w:r w:rsidRPr="004E11FE">
              <w:rPr>
                <w:b/>
              </w:rPr>
              <w:t>Izotermicze</w:t>
            </w:r>
            <w:proofErr w:type="spellEnd"/>
            <w:r>
              <w:t xml:space="preserve"> polega na chłodzeniu materiału z szybkością większą od krytycznej w kąpieli o temperaturze wyższej niż M</w:t>
            </w:r>
            <w:r w:rsidRPr="004E11FE">
              <w:rPr>
                <w:vertAlign w:val="subscript"/>
              </w:rPr>
              <w:t>S</w:t>
            </w:r>
            <w:r>
              <w:t>.</w:t>
            </w:r>
          </w:p>
          <w:p w:rsidR="004E11FE" w:rsidRDefault="004E11FE"/>
          <w:p w:rsidR="004E11FE" w:rsidRDefault="004E11FE">
            <w:r w:rsidRPr="004261A4">
              <w:rPr>
                <w:b/>
              </w:rPr>
              <w:t>Powierzchniowe</w:t>
            </w:r>
            <w:r>
              <w:t xml:space="preserve"> hartowanie dzielimy na płomieniowe, indukcyjne i kąpielowe. </w:t>
            </w:r>
            <w:r w:rsidRPr="004E11FE">
              <w:rPr>
                <w:b/>
              </w:rPr>
              <w:t>Płomieniowe</w:t>
            </w:r>
            <w:r>
              <w:t xml:space="preserve"> polega na nagrzewaniu powierzchni ciała palnikiem gazowym. </w:t>
            </w:r>
            <w:r w:rsidRPr="004E11FE">
              <w:rPr>
                <w:b/>
              </w:rPr>
              <w:t>Indukcyjne</w:t>
            </w:r>
            <w:r>
              <w:t xml:space="preserve"> polega na nagrzewaniu warstwy wierzchniej prądem elektrycznym indukowanym przez zmienne pole magnetyczne</w:t>
            </w:r>
            <w:r w:rsidRPr="004E11FE">
              <w:rPr>
                <w:b/>
              </w:rPr>
              <w:t>. Kąpielowe</w:t>
            </w:r>
            <w:r>
              <w:t xml:space="preserve"> polega na zanurzeniu ciała w kąpieli nagrzanej do temperatury ~1100 °C.</w:t>
            </w:r>
          </w:p>
          <w:p w:rsidR="008A39FB" w:rsidRDefault="008A39FB"/>
          <w:p w:rsidR="008A39FB" w:rsidRDefault="004E11FE">
            <w:r>
              <w:rPr>
                <w:b/>
              </w:rPr>
              <w:t xml:space="preserve">Hartowność </w:t>
            </w:r>
            <w:r>
              <w:t xml:space="preserve"> to zdolność do utworzenia struktury </w:t>
            </w:r>
            <w:proofErr w:type="spellStart"/>
            <w:r>
              <w:t>martenzytycznej</w:t>
            </w:r>
            <w:proofErr w:type="spellEnd"/>
            <w:r>
              <w:t xml:space="preserve"> </w:t>
            </w:r>
            <w:r w:rsidR="004261A4">
              <w:t xml:space="preserve">w miarę ochładzania. Podstawowymi parametrami hartowności którymi ją określamy jest </w:t>
            </w:r>
            <w:proofErr w:type="spellStart"/>
            <w:r w:rsidR="004261A4" w:rsidRPr="004261A4">
              <w:rPr>
                <w:b/>
              </w:rPr>
              <w:t>V</w:t>
            </w:r>
            <w:r w:rsidR="004261A4" w:rsidRPr="004261A4">
              <w:rPr>
                <w:b/>
                <w:vertAlign w:val="subscript"/>
              </w:rPr>
              <w:t>śr</w:t>
            </w:r>
            <w:proofErr w:type="spellEnd"/>
            <w:r w:rsidR="004261A4">
              <w:rPr>
                <w:vertAlign w:val="subscript"/>
              </w:rPr>
              <w:t xml:space="preserve"> </w:t>
            </w:r>
            <w:r w:rsidR="004261A4">
              <w:t xml:space="preserve">krytyczna szybkość chłodzenia, </w:t>
            </w:r>
            <w:proofErr w:type="spellStart"/>
            <w:r w:rsidR="004261A4" w:rsidRPr="004261A4">
              <w:rPr>
                <w:b/>
              </w:rPr>
              <w:t>D</w:t>
            </w:r>
            <w:r w:rsidR="004261A4" w:rsidRPr="004261A4">
              <w:rPr>
                <w:b/>
                <w:vertAlign w:val="subscript"/>
              </w:rPr>
              <w:t>kr</w:t>
            </w:r>
            <w:proofErr w:type="spellEnd"/>
            <w:r w:rsidR="004261A4">
              <w:rPr>
                <w:vertAlign w:val="subscript"/>
              </w:rPr>
              <w:t xml:space="preserve"> </w:t>
            </w:r>
            <w:r w:rsidR="004261A4">
              <w:t xml:space="preserve">średnica krytyczna, </w:t>
            </w:r>
            <w:r w:rsidR="004261A4" w:rsidRPr="004261A4">
              <w:rPr>
                <w:b/>
              </w:rPr>
              <w:t>D</w:t>
            </w:r>
            <w:r w:rsidR="004261A4" w:rsidRPr="004261A4">
              <w:rPr>
                <w:b/>
                <w:vertAlign w:val="subscript"/>
              </w:rPr>
              <w:t xml:space="preserve">i </w:t>
            </w:r>
            <w:proofErr w:type="spellStart"/>
            <w:r w:rsidR="004261A4" w:rsidRPr="004261A4">
              <w:rPr>
                <w:b/>
                <w:vertAlign w:val="subscript"/>
              </w:rPr>
              <w:t>śr</w:t>
            </w:r>
            <w:proofErr w:type="spellEnd"/>
            <w:r w:rsidR="004261A4">
              <w:t xml:space="preserve"> idealna średnica krytyczna oraz grubość warstwy zahartowanej. Na hartowność mają wpływ czynniki takie jak jednorodność składu chemicznego austenitu, wielkość ziarna austenitu czy skład chemiczny stali.</w:t>
            </w:r>
          </w:p>
          <w:p w:rsidR="004261A4" w:rsidRDefault="004261A4"/>
          <w:p w:rsidR="004261A4" w:rsidRDefault="004261A4">
            <w:r w:rsidRPr="004261A4">
              <w:rPr>
                <w:b/>
              </w:rPr>
              <w:t>Sposoby badania hartowności</w:t>
            </w:r>
            <w:r>
              <w:t xml:space="preserve"> – do najpopularniejszych należy metoda krzywych „U”, metoda hartowania od czoła, metoda Sheparda i metoda analityczna Grossmana.</w:t>
            </w:r>
          </w:p>
          <w:p w:rsidR="008A39FB" w:rsidRDefault="008A39FB"/>
          <w:p w:rsidR="008A39FB" w:rsidRDefault="008A39FB"/>
        </w:tc>
      </w:tr>
      <w:tr w:rsidR="008A39FB" w:rsidRPr="006650AF" w:rsidTr="00C100AD">
        <w:tc>
          <w:tcPr>
            <w:tcW w:w="11199" w:type="dxa"/>
            <w:gridSpan w:val="3"/>
          </w:tcPr>
          <w:p w:rsidR="008A39FB" w:rsidRDefault="008A39FB">
            <w:r>
              <w:t xml:space="preserve">3. </w:t>
            </w:r>
            <w:r w:rsidR="00181936">
              <w:t xml:space="preserve">Przebieg ćwiczenia </w:t>
            </w:r>
          </w:p>
          <w:p w:rsidR="008A39FB" w:rsidRDefault="008A39FB"/>
          <w:p w:rsidR="001945E6" w:rsidRDefault="001945E6"/>
          <w:p w:rsidR="008A39FB" w:rsidRPr="001945E6" w:rsidRDefault="004261A4">
            <w:r>
              <w:t xml:space="preserve">Badanie przeprowadzamy metodą </w:t>
            </w:r>
            <w:proofErr w:type="spellStart"/>
            <w:r>
              <w:t>Jominy</w:t>
            </w:r>
            <w:proofErr w:type="spellEnd"/>
            <w:r>
              <w:t xml:space="preserve"> polegającą na hartowaniu od czoła. Stal którą hartujemy to stal 40H o składzie procentowym: 0,4% C, 0,8% Mn, 0,37% Si, 1% Cr, 0,35% P, 0,035% S. Próbka ogrzana do ~850 °C została zahartowana strumieniem cieczy wytwarzającym zmienną szybkość chłodzenia w zależności od czoła próbki. Do pomiaru </w:t>
            </w:r>
            <w:r w:rsidR="001945E6">
              <w:t>twardości</w:t>
            </w:r>
            <w:r>
              <w:t xml:space="preserve"> użyliśmy metody Rockwella w skali C (czyli HRC)</w:t>
            </w:r>
            <w:r w:rsidR="001945E6">
              <w:t xml:space="preserve">. Z otrzymanych wyników sporządziliśmy wykres zależności twardości od odległości od czoła. Znając zawartość węgla  wyznaczyliśmy twardość strefy </w:t>
            </w:r>
            <w:proofErr w:type="spellStart"/>
            <w:r w:rsidR="001945E6">
              <w:t>półmartenzytycznej</w:t>
            </w:r>
            <w:proofErr w:type="spellEnd"/>
            <w:r w:rsidR="001945E6">
              <w:t xml:space="preserve"> której wartość wyniosła 45 HRC. Następnie wartość ta została użyta do wyliczenia odległości krytycznej L = 18 mm. Dzięki wykresowi zależności średnicy idealnej od odległości krytycznej wyznaczyliśmy średnicę idealną D</w:t>
            </w:r>
            <w:r w:rsidR="001945E6" w:rsidRPr="001945E6">
              <w:rPr>
                <w:vertAlign w:val="subscript"/>
              </w:rPr>
              <w:t>i</w:t>
            </w:r>
            <w:r w:rsidR="001945E6">
              <w:t xml:space="preserve"> , średnicę krytyczną dla </w:t>
            </w:r>
            <w:proofErr w:type="spellStart"/>
            <w:r w:rsidR="001945E6">
              <w:t>dla</w:t>
            </w:r>
            <w:proofErr w:type="spellEnd"/>
            <w:r w:rsidR="001945E6">
              <w:t xml:space="preserve"> współczynnika H = 1(do chłodzenia wykorzystano wodę).  Ostatnia część to badanie hartowności metodą Grossmana na podstawie składu chemicznego próbek oraz wielkości ziarna które posłużyły do wyliczenia średnicy krytycznej oraz rzeczywistej.</w:t>
            </w:r>
          </w:p>
          <w:p w:rsidR="008A39FB" w:rsidRDefault="008A39FB"/>
          <w:p w:rsidR="008A39FB" w:rsidRDefault="008A39FB"/>
          <w:p w:rsidR="008A39FB" w:rsidRDefault="008A39FB"/>
          <w:p w:rsidR="008A39FB" w:rsidRDefault="008A39FB"/>
          <w:p w:rsidR="008A39FB" w:rsidRDefault="00EA00BE">
            <w:r>
              <w:t>4. Tabele oraz wyniki</w:t>
            </w:r>
          </w:p>
          <w:p w:rsidR="008A39FB" w:rsidRDefault="008A39FB"/>
          <w:p w:rsidR="008A39FB" w:rsidRDefault="001945E6">
            <w:r>
              <w:lastRenderedPageBreak/>
              <w:t>Skład chemiczny próbek:</w:t>
            </w:r>
          </w:p>
          <w:p w:rsidR="001945E6" w:rsidRPr="008A5597" w:rsidRDefault="001945E6">
            <w:pPr>
              <w:rPr>
                <w:lang w:val="en-US"/>
              </w:rPr>
            </w:pPr>
            <w:r w:rsidRPr="008A5597">
              <w:rPr>
                <w:lang w:val="en-US"/>
              </w:rPr>
              <w:t xml:space="preserve">- </w:t>
            </w:r>
            <w:r w:rsidRPr="008A5597">
              <w:rPr>
                <w:b/>
                <w:i/>
                <w:lang w:val="en-US"/>
              </w:rPr>
              <w:t>STAL 40H</w:t>
            </w:r>
            <w:r w:rsidRPr="008A5597">
              <w:rPr>
                <w:lang w:val="en-US"/>
              </w:rPr>
              <w:t xml:space="preserve"> – 0,36 – 0,4 % C, 0,5 – 0,8% </w:t>
            </w:r>
            <w:proofErr w:type="spellStart"/>
            <w:r w:rsidRPr="008A5597">
              <w:rPr>
                <w:lang w:val="en-US"/>
              </w:rPr>
              <w:t>Mn</w:t>
            </w:r>
            <w:proofErr w:type="spellEnd"/>
            <w:r w:rsidRPr="008A5597">
              <w:rPr>
                <w:lang w:val="en-US"/>
              </w:rPr>
              <w:t>, 0,17 – 0,37% Si, 0,8 – 1% Cr, 0,3% Ni</w:t>
            </w:r>
          </w:p>
          <w:p w:rsidR="001945E6" w:rsidRPr="001945E6" w:rsidRDefault="001945E6">
            <w:pPr>
              <w:rPr>
                <w:lang w:val="en-US"/>
              </w:rPr>
            </w:pPr>
            <w:r>
              <w:rPr>
                <w:lang w:val="en-US"/>
              </w:rPr>
              <w:t xml:space="preserve">- </w:t>
            </w:r>
            <w:r w:rsidRPr="006650AF">
              <w:rPr>
                <w:b/>
                <w:i/>
                <w:lang w:val="en-US"/>
              </w:rPr>
              <w:t>STAL 40</w:t>
            </w:r>
            <w:r>
              <w:rPr>
                <w:lang w:val="en-US"/>
              </w:rPr>
              <w:t xml:space="preserve"> – 0,37- 0,45% C, 0,5 – 0,8% </w:t>
            </w:r>
            <w:proofErr w:type="spellStart"/>
            <w:r>
              <w:rPr>
                <w:lang w:val="en-US"/>
              </w:rPr>
              <w:t>Mn</w:t>
            </w:r>
            <w:proofErr w:type="spellEnd"/>
            <w:r>
              <w:rPr>
                <w:lang w:val="en-US"/>
              </w:rPr>
              <w:t>, 0,17 – 0,37% Si, 0,25% Cr, 0,25% Ni</w:t>
            </w:r>
          </w:p>
          <w:p w:rsidR="008A39FB" w:rsidRPr="001945E6" w:rsidRDefault="008A39FB">
            <w:pPr>
              <w:rPr>
                <w:lang w:val="en-US"/>
              </w:rPr>
            </w:pPr>
          </w:p>
          <w:p w:rsidR="008A39FB" w:rsidRPr="001945E6" w:rsidRDefault="008A39FB">
            <w:pPr>
              <w:rPr>
                <w:lang w:val="en-US"/>
              </w:rPr>
            </w:pPr>
          </w:p>
          <w:p w:rsidR="008A39FB" w:rsidRPr="006650AF" w:rsidRDefault="006650AF">
            <w:r w:rsidRPr="006650AF">
              <w:t>Tabelka zależności twardości od odległości od czoła:</w:t>
            </w:r>
          </w:p>
          <w:p w:rsidR="008A39FB" w:rsidRPr="006650AF" w:rsidRDefault="008A39FB"/>
          <w:tbl>
            <w:tblPr>
              <w:tblStyle w:val="Tabela-Siatka"/>
              <w:tblW w:w="0" w:type="auto"/>
              <w:tblLook w:val="04A0" w:firstRow="1" w:lastRow="0" w:firstColumn="1" w:lastColumn="0" w:noHBand="0" w:noVBand="1"/>
            </w:tblPr>
            <w:tblGrid>
              <w:gridCol w:w="1093"/>
              <w:gridCol w:w="496"/>
              <w:gridCol w:w="567"/>
              <w:gridCol w:w="567"/>
              <w:gridCol w:w="567"/>
              <w:gridCol w:w="567"/>
              <w:gridCol w:w="567"/>
              <w:gridCol w:w="567"/>
              <w:gridCol w:w="567"/>
              <w:gridCol w:w="567"/>
              <w:gridCol w:w="567"/>
              <w:gridCol w:w="567"/>
              <w:gridCol w:w="567"/>
            </w:tblGrid>
            <w:tr w:rsidR="006650AF" w:rsidTr="006650AF">
              <w:tc>
                <w:tcPr>
                  <w:tcW w:w="1093" w:type="dxa"/>
                </w:tcPr>
                <w:p w:rsidR="006650AF" w:rsidRPr="006650AF" w:rsidRDefault="006650AF" w:rsidP="006650AF">
                  <w:pPr>
                    <w:jc w:val="center"/>
                    <w:rPr>
                      <w:b/>
                    </w:rPr>
                  </w:pPr>
                  <w:r w:rsidRPr="006650AF">
                    <w:rPr>
                      <w:b/>
                    </w:rPr>
                    <w:t>Próbka</w:t>
                  </w:r>
                </w:p>
              </w:tc>
              <w:tc>
                <w:tcPr>
                  <w:tcW w:w="496" w:type="dxa"/>
                </w:tcPr>
                <w:p w:rsidR="006650AF" w:rsidRDefault="006650AF" w:rsidP="006650AF">
                  <w:pPr>
                    <w:jc w:val="center"/>
                  </w:pPr>
                  <w:r>
                    <w:t>1</w:t>
                  </w:r>
                </w:p>
              </w:tc>
              <w:tc>
                <w:tcPr>
                  <w:tcW w:w="567" w:type="dxa"/>
                </w:tcPr>
                <w:p w:rsidR="006650AF" w:rsidRDefault="006650AF" w:rsidP="006650AF">
                  <w:pPr>
                    <w:jc w:val="center"/>
                  </w:pPr>
                  <w:r>
                    <w:t>2</w:t>
                  </w:r>
                </w:p>
              </w:tc>
              <w:tc>
                <w:tcPr>
                  <w:tcW w:w="567" w:type="dxa"/>
                </w:tcPr>
                <w:p w:rsidR="006650AF" w:rsidRDefault="006650AF" w:rsidP="006650AF">
                  <w:pPr>
                    <w:jc w:val="center"/>
                  </w:pPr>
                  <w:r>
                    <w:t>3</w:t>
                  </w:r>
                </w:p>
              </w:tc>
              <w:tc>
                <w:tcPr>
                  <w:tcW w:w="567" w:type="dxa"/>
                </w:tcPr>
                <w:p w:rsidR="006650AF" w:rsidRDefault="006650AF" w:rsidP="006650AF">
                  <w:pPr>
                    <w:jc w:val="center"/>
                  </w:pPr>
                  <w:r>
                    <w:t>4</w:t>
                  </w:r>
                </w:p>
              </w:tc>
              <w:tc>
                <w:tcPr>
                  <w:tcW w:w="567" w:type="dxa"/>
                </w:tcPr>
                <w:p w:rsidR="006650AF" w:rsidRDefault="006650AF" w:rsidP="006650AF">
                  <w:pPr>
                    <w:jc w:val="center"/>
                  </w:pPr>
                  <w:r>
                    <w:t>5</w:t>
                  </w:r>
                </w:p>
              </w:tc>
              <w:tc>
                <w:tcPr>
                  <w:tcW w:w="567" w:type="dxa"/>
                </w:tcPr>
                <w:p w:rsidR="006650AF" w:rsidRDefault="006650AF" w:rsidP="006650AF">
                  <w:pPr>
                    <w:jc w:val="center"/>
                  </w:pPr>
                  <w:r>
                    <w:t>6</w:t>
                  </w:r>
                </w:p>
              </w:tc>
              <w:tc>
                <w:tcPr>
                  <w:tcW w:w="567" w:type="dxa"/>
                </w:tcPr>
                <w:p w:rsidR="006650AF" w:rsidRDefault="006650AF" w:rsidP="006650AF">
                  <w:pPr>
                    <w:jc w:val="center"/>
                  </w:pPr>
                  <w:r>
                    <w:t>7</w:t>
                  </w:r>
                </w:p>
              </w:tc>
              <w:tc>
                <w:tcPr>
                  <w:tcW w:w="567" w:type="dxa"/>
                </w:tcPr>
                <w:p w:rsidR="006650AF" w:rsidRDefault="006650AF" w:rsidP="006650AF">
                  <w:pPr>
                    <w:jc w:val="center"/>
                  </w:pPr>
                  <w:r>
                    <w:t>8</w:t>
                  </w:r>
                </w:p>
              </w:tc>
              <w:tc>
                <w:tcPr>
                  <w:tcW w:w="567" w:type="dxa"/>
                </w:tcPr>
                <w:p w:rsidR="006650AF" w:rsidRDefault="006650AF" w:rsidP="006650AF">
                  <w:pPr>
                    <w:jc w:val="center"/>
                  </w:pPr>
                  <w:r>
                    <w:t>9</w:t>
                  </w:r>
                </w:p>
              </w:tc>
              <w:tc>
                <w:tcPr>
                  <w:tcW w:w="567" w:type="dxa"/>
                </w:tcPr>
                <w:p w:rsidR="006650AF" w:rsidRDefault="006650AF" w:rsidP="006650AF">
                  <w:pPr>
                    <w:jc w:val="center"/>
                  </w:pPr>
                  <w:r>
                    <w:t>10</w:t>
                  </w:r>
                </w:p>
              </w:tc>
              <w:tc>
                <w:tcPr>
                  <w:tcW w:w="567" w:type="dxa"/>
                </w:tcPr>
                <w:p w:rsidR="006650AF" w:rsidRDefault="006650AF" w:rsidP="006650AF">
                  <w:pPr>
                    <w:jc w:val="center"/>
                  </w:pPr>
                  <w:r>
                    <w:t>11</w:t>
                  </w:r>
                </w:p>
              </w:tc>
              <w:tc>
                <w:tcPr>
                  <w:tcW w:w="567" w:type="dxa"/>
                </w:tcPr>
                <w:p w:rsidR="006650AF" w:rsidRDefault="006650AF" w:rsidP="006650AF">
                  <w:pPr>
                    <w:jc w:val="center"/>
                  </w:pPr>
                  <w:r>
                    <w:t>12</w:t>
                  </w:r>
                </w:p>
              </w:tc>
            </w:tr>
            <w:tr w:rsidR="006650AF" w:rsidTr="006650AF">
              <w:tc>
                <w:tcPr>
                  <w:tcW w:w="1093" w:type="dxa"/>
                </w:tcPr>
                <w:p w:rsidR="006650AF" w:rsidRPr="006650AF" w:rsidRDefault="006650AF" w:rsidP="006650AF">
                  <w:pPr>
                    <w:jc w:val="center"/>
                    <w:rPr>
                      <w:b/>
                    </w:rPr>
                  </w:pPr>
                  <w:r w:rsidRPr="006650AF">
                    <w:rPr>
                      <w:b/>
                    </w:rPr>
                    <w:t>L [mm]</w:t>
                  </w:r>
                </w:p>
              </w:tc>
              <w:tc>
                <w:tcPr>
                  <w:tcW w:w="496" w:type="dxa"/>
                </w:tcPr>
                <w:p w:rsidR="006650AF" w:rsidRDefault="006650AF" w:rsidP="006650AF">
                  <w:pPr>
                    <w:jc w:val="center"/>
                  </w:pPr>
                  <w:r>
                    <w:t>1</w:t>
                  </w:r>
                </w:p>
              </w:tc>
              <w:tc>
                <w:tcPr>
                  <w:tcW w:w="567" w:type="dxa"/>
                </w:tcPr>
                <w:p w:rsidR="006650AF" w:rsidRDefault="006650AF" w:rsidP="006650AF">
                  <w:pPr>
                    <w:jc w:val="center"/>
                  </w:pPr>
                  <w:r>
                    <w:t>4</w:t>
                  </w:r>
                </w:p>
              </w:tc>
              <w:tc>
                <w:tcPr>
                  <w:tcW w:w="567" w:type="dxa"/>
                </w:tcPr>
                <w:p w:rsidR="006650AF" w:rsidRDefault="006650AF" w:rsidP="006650AF">
                  <w:pPr>
                    <w:jc w:val="center"/>
                  </w:pPr>
                  <w:r>
                    <w:t>7</w:t>
                  </w:r>
                </w:p>
              </w:tc>
              <w:tc>
                <w:tcPr>
                  <w:tcW w:w="567" w:type="dxa"/>
                </w:tcPr>
                <w:p w:rsidR="006650AF" w:rsidRDefault="006650AF" w:rsidP="006650AF">
                  <w:pPr>
                    <w:jc w:val="center"/>
                  </w:pPr>
                  <w:r>
                    <w:t>11</w:t>
                  </w:r>
                </w:p>
              </w:tc>
              <w:tc>
                <w:tcPr>
                  <w:tcW w:w="567" w:type="dxa"/>
                </w:tcPr>
                <w:p w:rsidR="006650AF" w:rsidRDefault="006650AF" w:rsidP="006650AF">
                  <w:pPr>
                    <w:jc w:val="center"/>
                  </w:pPr>
                  <w:r>
                    <w:t>16</w:t>
                  </w:r>
                </w:p>
              </w:tc>
              <w:tc>
                <w:tcPr>
                  <w:tcW w:w="567" w:type="dxa"/>
                </w:tcPr>
                <w:p w:rsidR="006650AF" w:rsidRDefault="006650AF" w:rsidP="006650AF">
                  <w:pPr>
                    <w:jc w:val="center"/>
                  </w:pPr>
                  <w:r>
                    <w:t>21</w:t>
                  </w:r>
                </w:p>
              </w:tc>
              <w:tc>
                <w:tcPr>
                  <w:tcW w:w="567" w:type="dxa"/>
                </w:tcPr>
                <w:p w:rsidR="006650AF" w:rsidRDefault="006650AF" w:rsidP="006650AF">
                  <w:pPr>
                    <w:jc w:val="center"/>
                  </w:pPr>
                  <w:r>
                    <w:t>26</w:t>
                  </w:r>
                </w:p>
              </w:tc>
              <w:tc>
                <w:tcPr>
                  <w:tcW w:w="567" w:type="dxa"/>
                </w:tcPr>
                <w:p w:rsidR="006650AF" w:rsidRDefault="006650AF" w:rsidP="006650AF">
                  <w:pPr>
                    <w:jc w:val="center"/>
                  </w:pPr>
                  <w:r>
                    <w:t>32</w:t>
                  </w:r>
                </w:p>
              </w:tc>
              <w:tc>
                <w:tcPr>
                  <w:tcW w:w="567" w:type="dxa"/>
                </w:tcPr>
                <w:p w:rsidR="006650AF" w:rsidRDefault="006650AF" w:rsidP="006650AF">
                  <w:pPr>
                    <w:jc w:val="center"/>
                  </w:pPr>
                  <w:r>
                    <w:t>38</w:t>
                  </w:r>
                </w:p>
              </w:tc>
              <w:tc>
                <w:tcPr>
                  <w:tcW w:w="567" w:type="dxa"/>
                </w:tcPr>
                <w:p w:rsidR="006650AF" w:rsidRDefault="006650AF" w:rsidP="006650AF">
                  <w:pPr>
                    <w:jc w:val="center"/>
                  </w:pPr>
                  <w:r>
                    <w:t>45</w:t>
                  </w:r>
                </w:p>
              </w:tc>
              <w:tc>
                <w:tcPr>
                  <w:tcW w:w="567" w:type="dxa"/>
                </w:tcPr>
                <w:p w:rsidR="006650AF" w:rsidRDefault="006650AF" w:rsidP="006650AF">
                  <w:pPr>
                    <w:jc w:val="center"/>
                  </w:pPr>
                  <w:r>
                    <w:t>56</w:t>
                  </w:r>
                </w:p>
              </w:tc>
              <w:tc>
                <w:tcPr>
                  <w:tcW w:w="567" w:type="dxa"/>
                </w:tcPr>
                <w:p w:rsidR="006650AF" w:rsidRDefault="006650AF" w:rsidP="006650AF">
                  <w:pPr>
                    <w:jc w:val="center"/>
                  </w:pPr>
                  <w:r>
                    <w:t>72</w:t>
                  </w:r>
                </w:p>
              </w:tc>
            </w:tr>
            <w:tr w:rsidR="006650AF" w:rsidTr="006650AF">
              <w:tc>
                <w:tcPr>
                  <w:tcW w:w="1093" w:type="dxa"/>
                </w:tcPr>
                <w:p w:rsidR="006650AF" w:rsidRPr="006650AF" w:rsidRDefault="006650AF" w:rsidP="006650AF">
                  <w:pPr>
                    <w:jc w:val="center"/>
                    <w:rPr>
                      <w:b/>
                    </w:rPr>
                  </w:pPr>
                  <w:r w:rsidRPr="006650AF">
                    <w:rPr>
                      <w:b/>
                    </w:rPr>
                    <w:t>Twardość [HRC]</w:t>
                  </w:r>
                </w:p>
              </w:tc>
              <w:tc>
                <w:tcPr>
                  <w:tcW w:w="496" w:type="dxa"/>
                </w:tcPr>
                <w:p w:rsidR="006650AF" w:rsidRDefault="006650AF" w:rsidP="006650AF">
                  <w:pPr>
                    <w:jc w:val="center"/>
                  </w:pPr>
                  <w:r>
                    <w:t>58</w:t>
                  </w:r>
                </w:p>
              </w:tc>
              <w:tc>
                <w:tcPr>
                  <w:tcW w:w="567" w:type="dxa"/>
                </w:tcPr>
                <w:p w:rsidR="006650AF" w:rsidRDefault="006650AF" w:rsidP="006650AF">
                  <w:pPr>
                    <w:jc w:val="center"/>
                  </w:pPr>
                  <w:r>
                    <w:t>57</w:t>
                  </w:r>
                </w:p>
              </w:tc>
              <w:tc>
                <w:tcPr>
                  <w:tcW w:w="567" w:type="dxa"/>
                </w:tcPr>
                <w:p w:rsidR="006650AF" w:rsidRDefault="006650AF" w:rsidP="006650AF">
                  <w:pPr>
                    <w:jc w:val="center"/>
                  </w:pPr>
                  <w:r>
                    <w:t>56</w:t>
                  </w:r>
                </w:p>
              </w:tc>
              <w:tc>
                <w:tcPr>
                  <w:tcW w:w="567" w:type="dxa"/>
                </w:tcPr>
                <w:p w:rsidR="006650AF" w:rsidRDefault="006650AF" w:rsidP="006650AF">
                  <w:pPr>
                    <w:jc w:val="center"/>
                  </w:pPr>
                  <w:r>
                    <w:t>55</w:t>
                  </w:r>
                </w:p>
              </w:tc>
              <w:tc>
                <w:tcPr>
                  <w:tcW w:w="567" w:type="dxa"/>
                </w:tcPr>
                <w:p w:rsidR="006650AF" w:rsidRDefault="006650AF" w:rsidP="006650AF">
                  <w:pPr>
                    <w:jc w:val="center"/>
                  </w:pPr>
                  <w:r>
                    <w:t>48</w:t>
                  </w:r>
                </w:p>
              </w:tc>
              <w:tc>
                <w:tcPr>
                  <w:tcW w:w="567" w:type="dxa"/>
                </w:tcPr>
                <w:p w:rsidR="006650AF" w:rsidRDefault="006650AF" w:rsidP="006650AF">
                  <w:pPr>
                    <w:jc w:val="center"/>
                  </w:pPr>
                  <w:r>
                    <w:t>41</w:t>
                  </w:r>
                </w:p>
              </w:tc>
              <w:tc>
                <w:tcPr>
                  <w:tcW w:w="567" w:type="dxa"/>
                </w:tcPr>
                <w:p w:rsidR="006650AF" w:rsidRDefault="006650AF" w:rsidP="006650AF">
                  <w:pPr>
                    <w:jc w:val="center"/>
                  </w:pPr>
                  <w:r>
                    <w:t>37</w:t>
                  </w:r>
                </w:p>
              </w:tc>
              <w:tc>
                <w:tcPr>
                  <w:tcW w:w="567" w:type="dxa"/>
                </w:tcPr>
                <w:p w:rsidR="006650AF" w:rsidRDefault="006650AF" w:rsidP="006650AF">
                  <w:pPr>
                    <w:jc w:val="center"/>
                  </w:pPr>
                  <w:r>
                    <w:t>37</w:t>
                  </w:r>
                </w:p>
              </w:tc>
              <w:tc>
                <w:tcPr>
                  <w:tcW w:w="567" w:type="dxa"/>
                </w:tcPr>
                <w:p w:rsidR="006650AF" w:rsidRDefault="006650AF" w:rsidP="006650AF">
                  <w:pPr>
                    <w:jc w:val="center"/>
                  </w:pPr>
                  <w:r>
                    <w:t>36</w:t>
                  </w:r>
                </w:p>
              </w:tc>
              <w:tc>
                <w:tcPr>
                  <w:tcW w:w="567" w:type="dxa"/>
                </w:tcPr>
                <w:p w:rsidR="006650AF" w:rsidRDefault="006650AF" w:rsidP="006650AF">
                  <w:pPr>
                    <w:jc w:val="center"/>
                  </w:pPr>
                  <w:r>
                    <w:t>28</w:t>
                  </w:r>
                </w:p>
              </w:tc>
              <w:tc>
                <w:tcPr>
                  <w:tcW w:w="567" w:type="dxa"/>
                </w:tcPr>
                <w:p w:rsidR="006650AF" w:rsidRDefault="006650AF" w:rsidP="006650AF">
                  <w:pPr>
                    <w:jc w:val="center"/>
                  </w:pPr>
                  <w:r>
                    <w:t>23</w:t>
                  </w:r>
                </w:p>
              </w:tc>
              <w:tc>
                <w:tcPr>
                  <w:tcW w:w="567" w:type="dxa"/>
                </w:tcPr>
                <w:p w:rsidR="006650AF" w:rsidRDefault="006650AF" w:rsidP="006650AF">
                  <w:pPr>
                    <w:jc w:val="center"/>
                  </w:pPr>
                  <w:r>
                    <w:t>21</w:t>
                  </w:r>
                </w:p>
              </w:tc>
            </w:tr>
          </w:tbl>
          <w:p w:rsidR="008A39FB" w:rsidRPr="006650AF" w:rsidRDefault="008A39FB"/>
          <w:p w:rsidR="00EA00BE" w:rsidRDefault="00EA00BE"/>
          <w:p w:rsidR="00EA00BE" w:rsidRDefault="00EA00BE"/>
          <w:p w:rsidR="00EA00BE" w:rsidRDefault="00EA00BE"/>
          <w:p w:rsidR="00EA00BE" w:rsidRDefault="00EA00BE"/>
          <w:p w:rsidR="008A39FB" w:rsidRPr="006650AF" w:rsidRDefault="004968CA">
            <w:r>
              <w:t>Wykres na podstawie tabelki:</w:t>
            </w:r>
          </w:p>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Pr="006650AF" w:rsidRDefault="008A39FB"/>
          <w:p w:rsidR="008A39FB" w:rsidRDefault="00EA00BE">
            <w:r>
              <w:rPr>
                <w:noProof/>
                <w:lang w:eastAsia="pl-PL"/>
              </w:rPr>
              <w:drawing>
                <wp:anchor distT="0" distB="0" distL="114300" distR="114300" simplePos="0" relativeHeight="251658240" behindDoc="1" locked="0" layoutInCell="1" allowOverlap="1" wp14:anchorId="33D7883A" wp14:editId="6E91E93E">
                  <wp:simplePos x="0" y="0"/>
                  <wp:positionH relativeFrom="column">
                    <wp:posOffset>-1905</wp:posOffset>
                  </wp:positionH>
                  <wp:positionV relativeFrom="paragraph">
                    <wp:posOffset>-3095625</wp:posOffset>
                  </wp:positionV>
                  <wp:extent cx="6645910" cy="3947795"/>
                  <wp:effectExtent l="0" t="0" r="0" b="0"/>
                  <wp:wrapTight wrapText="bothSides">
                    <wp:wrapPolygon edited="0">
                      <wp:start x="0" y="0"/>
                      <wp:lineTo x="0" y="21471"/>
                      <wp:lineTo x="21546" y="21471"/>
                      <wp:lineTo x="2154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y obraz mapy bitowej.bmp"/>
                          <pic:cNvPicPr/>
                        </pic:nvPicPr>
                        <pic:blipFill>
                          <a:blip r:embed="rId9">
                            <a:extLst>
                              <a:ext uri="{28A0092B-C50C-407E-A947-70E740481C1C}">
                                <a14:useLocalDpi xmlns:a14="http://schemas.microsoft.com/office/drawing/2010/main" val="0"/>
                              </a:ext>
                            </a:extLst>
                          </a:blip>
                          <a:stretch>
                            <a:fillRect/>
                          </a:stretch>
                        </pic:blipFill>
                        <pic:spPr>
                          <a:xfrm>
                            <a:off x="0" y="0"/>
                            <a:ext cx="6645910" cy="3947795"/>
                          </a:xfrm>
                          <a:prstGeom prst="rect">
                            <a:avLst/>
                          </a:prstGeom>
                        </pic:spPr>
                      </pic:pic>
                    </a:graphicData>
                  </a:graphic>
                  <wp14:sizeRelH relativeFrom="page">
                    <wp14:pctWidth>0</wp14:pctWidth>
                  </wp14:sizeRelH>
                  <wp14:sizeRelV relativeFrom="page">
                    <wp14:pctHeight>0</wp14:pctHeight>
                  </wp14:sizeRelV>
                </wp:anchor>
              </w:drawing>
            </w:r>
          </w:p>
          <w:p w:rsidR="006626E7" w:rsidRDefault="006626E7"/>
          <w:p w:rsidR="000344A3" w:rsidRDefault="000344A3"/>
          <w:p w:rsidR="000344A3" w:rsidRPr="006650AF" w:rsidRDefault="000344A3"/>
          <w:p w:rsidR="008A39FB" w:rsidRDefault="008A39FB"/>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EA00BE" w:rsidRDefault="00EA00BE"/>
          <w:p w:rsidR="00EA00BE" w:rsidRDefault="00EA00BE"/>
          <w:p w:rsidR="00EA00BE" w:rsidRDefault="00EA00BE"/>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0344A3"/>
          <w:p w:rsidR="000344A3" w:rsidRDefault="002C2077">
            <w:bookmarkStart w:id="0" w:name="_GoBack"/>
            <w:r>
              <w:rPr>
                <w:noProof/>
                <w:lang w:eastAsia="pl-PL"/>
              </w:rPr>
              <w:drawing>
                <wp:anchor distT="0" distB="0" distL="114300" distR="114300" simplePos="0" relativeHeight="251659264" behindDoc="1" locked="0" layoutInCell="1" allowOverlap="1" wp14:anchorId="4D162283" wp14:editId="6536CD42">
                  <wp:simplePos x="0" y="0"/>
                  <wp:positionH relativeFrom="column">
                    <wp:posOffset>86995</wp:posOffset>
                  </wp:positionH>
                  <wp:positionV relativeFrom="paragraph">
                    <wp:posOffset>-3041015</wp:posOffset>
                  </wp:positionV>
                  <wp:extent cx="5486400" cy="3200400"/>
                  <wp:effectExtent l="0" t="0" r="0" b="0"/>
                  <wp:wrapTight wrapText="bothSides">
                    <wp:wrapPolygon edited="0">
                      <wp:start x="0" y="0"/>
                      <wp:lineTo x="0" y="21600"/>
                      <wp:lineTo x="21600" y="21600"/>
                      <wp:lineTo x="21600" y="0"/>
                      <wp:lineTo x="0" y="0"/>
                    </wp:wrapPolygon>
                  </wp:wrapTight>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bookmarkEnd w:id="0"/>
          </w:p>
          <w:p w:rsidR="000344A3" w:rsidRDefault="000344A3"/>
          <w:p w:rsidR="000344A3" w:rsidRDefault="000344A3">
            <w:r>
              <w:t>METODA GROSSMANA:</w:t>
            </w:r>
          </w:p>
          <w:p w:rsidR="000344A3" w:rsidRDefault="000344A3"/>
          <w:p w:rsidR="000344A3" w:rsidRDefault="000344A3" w:rsidP="000344A3">
            <w:pPr>
              <w:pStyle w:val="Akapitzlist"/>
              <w:numPr>
                <w:ilvl w:val="0"/>
                <w:numId w:val="2"/>
              </w:numPr>
            </w:pPr>
            <w:r>
              <w:t>STAL 40H</w:t>
            </w:r>
          </w:p>
          <w:p w:rsidR="00B044CF" w:rsidRDefault="00B044CF" w:rsidP="00B044CF">
            <w:r>
              <w:t xml:space="preserve">Nr ziarna N = 8     </w:t>
            </w:r>
          </w:p>
          <w:p w:rsidR="000344A3" w:rsidRDefault="00B044CF" w:rsidP="00B044CF">
            <w:pPr>
              <w:rPr>
                <w:rFonts w:eastAsiaTheme="minorEastAsia"/>
              </w:rPr>
            </w:pPr>
            <w:r>
              <w:t xml:space="preserve"> </w:t>
            </w:r>
            <m:oMath>
              <m:r>
                <w:rPr>
                  <w:rFonts w:ascii="Cambria Math" w:hAnsi="Cambria Math"/>
                </w:rPr>
                <m:t>Dp=B∙</m:t>
              </m:r>
              <m:rad>
                <m:radPr>
                  <m:degHide m:val="1"/>
                  <m:ctrlPr>
                    <w:rPr>
                      <w:rFonts w:ascii="Cambria Math" w:hAnsi="Cambria Math"/>
                      <w:i/>
                    </w:rPr>
                  </m:ctrlPr>
                </m:radPr>
                <m:deg/>
                <m:e>
                  <m:r>
                    <w:rPr>
                      <w:rFonts w:ascii="Cambria Math" w:hAnsi="Cambria Math"/>
                    </w:rPr>
                    <m:t>%C</m:t>
                  </m:r>
                </m:e>
              </m:rad>
              <m:r>
                <w:rPr>
                  <w:rFonts w:ascii="Cambria Math" w:hAnsi="Cambria Math"/>
                </w:rPr>
                <m:t xml:space="preserve">= </m:t>
              </m:r>
              <m:f>
                <m:fPr>
                  <m:ctrlPr>
                    <w:rPr>
                      <w:rFonts w:ascii="Cambria Math" w:hAnsi="Cambria Math"/>
                      <w:i/>
                    </w:rPr>
                  </m:ctrlPr>
                </m:fPr>
                <m:num>
                  <m:r>
                    <w:rPr>
                      <w:rFonts w:ascii="Cambria Math" w:hAnsi="Cambria Math"/>
                    </w:rPr>
                    <m:t>13,9</m:t>
                  </m:r>
                </m:num>
                <m:den>
                  <m:sSup>
                    <m:sSupPr>
                      <m:ctrlPr>
                        <w:rPr>
                          <w:rFonts w:ascii="Cambria Math" w:hAnsi="Cambria Math"/>
                          <w:i/>
                        </w:rPr>
                      </m:ctrlPr>
                    </m:sSupPr>
                    <m:e>
                      <m:r>
                        <w:rPr>
                          <w:rFonts w:ascii="Cambria Math" w:hAnsi="Cambria Math"/>
                        </w:rPr>
                        <m:t>1,083</m:t>
                      </m:r>
                    </m:e>
                    <m:sup>
                      <m:r>
                        <w:rPr>
                          <w:rFonts w:ascii="Cambria Math" w:hAnsi="Cambria Math"/>
                        </w:rPr>
                        <m:t>8</m:t>
                      </m:r>
                    </m:sup>
                  </m:sSup>
                </m:den>
              </m:f>
              <m:r>
                <w:rPr>
                  <w:rFonts w:ascii="Cambria Math" w:hAnsi="Cambria Math"/>
                </w:rPr>
                <m:t>∙0,63=4,64</m:t>
              </m:r>
            </m:oMath>
          </w:p>
          <w:p w:rsidR="00B044CF" w:rsidRDefault="00B044CF" w:rsidP="00B044CF">
            <w:pPr>
              <w:rPr>
                <w:rFonts w:eastAsiaTheme="minorEastAsia"/>
              </w:rPr>
            </w:pPr>
            <m:oMath>
              <m:r>
                <w:rPr>
                  <w:rFonts w:ascii="Cambria Math" w:eastAsiaTheme="minorEastAsia" w:hAnsi="Cambria Math"/>
                </w:rPr>
                <m:t>fMn=1+0,8 ∙4,8=4,84</m:t>
              </m:r>
            </m:oMath>
            <w:r>
              <w:rPr>
                <w:rFonts w:eastAsiaTheme="minorEastAsia"/>
              </w:rPr>
              <w:t xml:space="preserve"> </w:t>
            </w:r>
            <m:oMath>
              <m:r>
                <w:rPr>
                  <w:rFonts w:ascii="Cambria Math" w:eastAsiaTheme="minorEastAsia" w:hAnsi="Cambria Math"/>
                </w:rPr>
                <m:t xml:space="preserve">  fSi=1+0,37∙0,7=1,259</m:t>
              </m:r>
            </m:oMath>
            <w:r>
              <w:rPr>
                <w:rFonts w:eastAsiaTheme="minorEastAsia"/>
              </w:rPr>
              <w:t xml:space="preserve"> </w:t>
            </w:r>
          </w:p>
          <w:p w:rsidR="00B044CF" w:rsidRDefault="00B044CF" w:rsidP="00B044CF">
            <w:pPr>
              <w:rPr>
                <w:rFonts w:eastAsiaTheme="minorEastAsia"/>
              </w:rPr>
            </w:pPr>
            <m:oMath>
              <m:r>
                <w:rPr>
                  <w:rFonts w:ascii="Cambria Math" w:eastAsiaTheme="minorEastAsia" w:hAnsi="Cambria Math"/>
                </w:rPr>
                <m:t>fCr=1+1∙2,16=3,16</m:t>
              </m:r>
            </m:oMath>
            <w:r>
              <w:rPr>
                <w:rFonts w:eastAsiaTheme="minorEastAsia"/>
              </w:rPr>
              <w:t xml:space="preserve">        </w:t>
            </w:r>
            <m:oMath>
              <m:r>
                <w:rPr>
                  <w:rFonts w:ascii="Cambria Math" w:eastAsiaTheme="minorEastAsia" w:hAnsi="Cambria Math"/>
                </w:rPr>
                <m:t>fNi=1+0,3∙0,25=1,075</m:t>
              </m:r>
            </m:oMath>
          </w:p>
          <w:p w:rsidR="00B044CF" w:rsidRPr="00B044CF" w:rsidRDefault="00B044CF" w:rsidP="00B044CF">
            <w:pPr>
              <w:rPr>
                <w:rFonts w:eastAsiaTheme="minorEastAsia"/>
              </w:rPr>
            </w:pPr>
            <m:oMathPara>
              <m:oMathParaPr>
                <m:jc m:val="left"/>
              </m:oMathParaPr>
              <m:oMath>
                <m:r>
                  <w:rPr>
                    <w:rFonts w:ascii="Cambria Math" w:eastAsiaTheme="minorEastAsia" w:hAnsi="Cambria Math"/>
                  </w:rPr>
                  <m:t>Di=Dp ∙fMn ∙fSi ∙fCr ∙fNi=96,08</m:t>
                </m:r>
              </m:oMath>
            </m:oMathPara>
          </w:p>
          <w:p w:rsidR="00B044CF" w:rsidRPr="00B044CF" w:rsidRDefault="00B044CF" w:rsidP="00B044CF">
            <w:pPr>
              <w:rPr>
                <w:rFonts w:eastAsiaTheme="minorEastAsia"/>
              </w:rPr>
            </w:pPr>
          </w:p>
          <w:p w:rsidR="00F81E92" w:rsidRDefault="00F81E92" w:rsidP="00F81E92">
            <w:pPr>
              <w:pStyle w:val="Akapitzlist"/>
              <w:numPr>
                <w:ilvl w:val="0"/>
                <w:numId w:val="2"/>
              </w:numPr>
            </w:pPr>
            <w:r>
              <w:t>STAL 40</w:t>
            </w:r>
          </w:p>
          <w:p w:rsidR="00F81E92" w:rsidRDefault="00F81E92" w:rsidP="00F81E92">
            <w:pPr>
              <w:rPr>
                <w:rFonts w:eastAsiaTheme="minorEastAsia"/>
              </w:rPr>
            </w:pPr>
            <m:oMath>
              <m:r>
                <w:rPr>
                  <w:rFonts w:ascii="Cambria Math" w:hAnsi="Cambria Math"/>
                </w:rPr>
                <m:t xml:space="preserve">Dp=B ∙ </m:t>
              </m:r>
              <m:rad>
                <m:radPr>
                  <m:degHide m:val="1"/>
                  <m:ctrlPr>
                    <w:rPr>
                      <w:rFonts w:ascii="Cambria Math" w:hAnsi="Cambria Math"/>
                      <w:i/>
                    </w:rPr>
                  </m:ctrlPr>
                </m:radPr>
                <m:deg/>
                <m:e>
                  <m:r>
                    <w:rPr>
                      <w:rFonts w:ascii="Cambria Math" w:hAnsi="Cambria Math"/>
                    </w:rPr>
                    <m:t>%C</m:t>
                  </m:r>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13,9</m:t>
                  </m:r>
                </m:num>
                <m:den>
                  <m:sSup>
                    <m:sSupPr>
                      <m:ctrlPr>
                        <w:rPr>
                          <w:rFonts w:ascii="Cambria Math" w:eastAsiaTheme="minorEastAsia" w:hAnsi="Cambria Math"/>
                          <w:i/>
                        </w:rPr>
                      </m:ctrlPr>
                    </m:sSupPr>
                    <m:e>
                      <m:r>
                        <w:rPr>
                          <w:rFonts w:ascii="Cambria Math" w:eastAsiaTheme="minorEastAsia" w:hAnsi="Cambria Math"/>
                        </w:rPr>
                        <m:t>1,083</m:t>
                      </m:r>
                    </m:e>
                    <m:sup>
                      <m:r>
                        <w:rPr>
                          <w:rFonts w:ascii="Cambria Math" w:eastAsiaTheme="minorEastAsia" w:hAnsi="Cambria Math"/>
                        </w:rPr>
                        <m:t>8</m:t>
                      </m:r>
                    </m:sup>
                  </m:sSup>
                </m:den>
              </m:f>
              <m:r>
                <w:rPr>
                  <w:rFonts w:ascii="Cambria Math" w:eastAsiaTheme="minorEastAsia" w:hAnsi="Cambria Math"/>
                </w:rPr>
                <m:t>∙0,67=4,93</m:t>
              </m:r>
            </m:oMath>
            <w:r>
              <w:rPr>
                <w:rFonts w:eastAsiaTheme="minorEastAsia"/>
              </w:rPr>
              <w:t xml:space="preserve"> </w:t>
            </w:r>
          </w:p>
          <w:p w:rsidR="00F81E92" w:rsidRDefault="00F81E92" w:rsidP="00F81E92">
            <w:pPr>
              <w:rPr>
                <w:rFonts w:eastAsiaTheme="minorEastAsia"/>
              </w:rPr>
            </w:pPr>
            <m:oMath>
              <m:r>
                <w:rPr>
                  <w:rFonts w:ascii="Cambria Math" w:hAnsi="Cambria Math"/>
                </w:rPr>
                <m:t>fMn=1+0,8∙4,8=4,84</m:t>
              </m:r>
            </m:oMath>
            <w:r>
              <w:rPr>
                <w:rFonts w:eastAsiaTheme="minorEastAsia"/>
              </w:rPr>
              <w:t xml:space="preserve">   </w:t>
            </w:r>
            <m:oMath>
              <m:r>
                <w:rPr>
                  <w:rFonts w:ascii="Cambria Math" w:eastAsiaTheme="minorEastAsia" w:hAnsi="Cambria Math"/>
                </w:rPr>
                <m:t>fSi=1+0,37∙0,7=1,259</m:t>
              </m:r>
            </m:oMath>
          </w:p>
          <w:p w:rsidR="00F81E92" w:rsidRDefault="00F81E92" w:rsidP="00F81E92">
            <w:pPr>
              <w:rPr>
                <w:rFonts w:eastAsiaTheme="minorEastAsia"/>
              </w:rPr>
            </w:pPr>
            <m:oMath>
              <m:r>
                <w:rPr>
                  <w:rFonts w:ascii="Cambria Math" w:hAnsi="Cambria Math"/>
                </w:rPr>
                <m:t>fCr=1+0,25∙2,16=1,54</m:t>
              </m:r>
            </m:oMath>
            <w:r>
              <w:rPr>
                <w:rFonts w:eastAsiaTheme="minorEastAsia"/>
              </w:rPr>
              <w:t xml:space="preserve">  </w:t>
            </w:r>
            <m:oMath>
              <m:r>
                <w:rPr>
                  <w:rFonts w:ascii="Cambria Math" w:eastAsiaTheme="minorEastAsia" w:hAnsi="Cambria Math"/>
                </w:rPr>
                <m:t>fNi=1+0,25∙0,25=1,063</m:t>
              </m:r>
            </m:oMath>
          </w:p>
          <w:p w:rsidR="00F81E92" w:rsidRPr="003975BE" w:rsidRDefault="00F81E92" w:rsidP="00F81E92">
            <w:pPr>
              <w:rPr>
                <w:rFonts w:eastAsiaTheme="minorEastAsia"/>
              </w:rPr>
            </w:pPr>
            <m:oMathPara>
              <m:oMathParaPr>
                <m:jc m:val="left"/>
              </m:oMathParaPr>
              <m:oMath>
                <m:r>
                  <w:rPr>
                    <w:rFonts w:ascii="Cambria Math" w:hAnsi="Cambria Math"/>
                  </w:rPr>
                  <m:t>Di=Dp ∙fMn ∙fSi ∙fCr ∙fNi=49,18</m:t>
                </m:r>
              </m:oMath>
            </m:oMathPara>
          </w:p>
          <w:p w:rsidR="003975BE" w:rsidRDefault="003975BE" w:rsidP="00F81E92">
            <w:pPr>
              <w:rPr>
                <w:rFonts w:eastAsiaTheme="minorEastAsia"/>
              </w:rPr>
            </w:pPr>
          </w:p>
          <w:p w:rsidR="003975BE" w:rsidRDefault="003975BE" w:rsidP="00F81E92">
            <w:pPr>
              <w:rPr>
                <w:rFonts w:eastAsiaTheme="minorEastAsia"/>
              </w:rPr>
            </w:pPr>
          </w:p>
          <w:p w:rsidR="003975BE" w:rsidRDefault="003975BE" w:rsidP="00F81E92">
            <w:r>
              <w:t>Odczyty z wykresów:</w:t>
            </w:r>
          </w:p>
          <w:p w:rsidR="003975BE" w:rsidRDefault="003975BE" w:rsidP="00F81E92">
            <w:r>
              <w:t>STAL 40H:</w:t>
            </w:r>
          </w:p>
          <w:p w:rsidR="003975BE" w:rsidRDefault="00EA00BE" w:rsidP="003975BE">
            <w:pPr>
              <w:ind w:left="708"/>
            </w:pPr>
            <w:r>
              <w:t>Wykres zależności HCR od %C w próbce</w:t>
            </w:r>
          </w:p>
          <w:p w:rsidR="00EA00BE" w:rsidRDefault="00EA00BE" w:rsidP="003975BE">
            <w:pPr>
              <w:ind w:left="708"/>
            </w:pPr>
            <w:r>
              <w:t>- f(0,40%C) = 45 HCR</w:t>
            </w:r>
          </w:p>
          <w:p w:rsidR="00EA00BE" w:rsidRDefault="00EA00BE" w:rsidP="003975BE">
            <w:pPr>
              <w:ind w:left="708"/>
            </w:pPr>
            <w:r>
              <w:t>Wykres zależności HCR od odległości L od czoła [mm]</w:t>
            </w:r>
          </w:p>
          <w:p w:rsidR="00EA00BE" w:rsidRDefault="00EA00BE" w:rsidP="003975BE">
            <w:pPr>
              <w:ind w:left="708"/>
            </w:pPr>
            <w:r>
              <w:t>- f(45 HCR) = ~18 mm, L = 18 mm</w:t>
            </w:r>
          </w:p>
          <w:p w:rsidR="00EA00BE" w:rsidRDefault="00EA00BE" w:rsidP="003975BE">
            <w:pPr>
              <w:ind w:left="708"/>
            </w:pPr>
            <w:r>
              <w:t>Wykres zależności odległości od czoła od intensywności oziębiania, przy czym dla wody H = 1</w:t>
            </w:r>
          </w:p>
          <w:p w:rsidR="00EA00BE" w:rsidRDefault="00EA00BE" w:rsidP="003975BE">
            <w:pPr>
              <w:ind w:left="708"/>
            </w:pPr>
            <w:r>
              <w:t>- STAL 40H D</w:t>
            </w:r>
            <w:r w:rsidRPr="00EA00BE">
              <w:rPr>
                <w:vertAlign w:val="subscript"/>
              </w:rPr>
              <w:t>i</w:t>
            </w:r>
            <w:r>
              <w:t xml:space="preserve"> = 92 mm</w:t>
            </w:r>
          </w:p>
          <w:p w:rsidR="00EA00BE" w:rsidRDefault="00EA00BE" w:rsidP="003975BE">
            <w:pPr>
              <w:ind w:left="708"/>
            </w:pPr>
          </w:p>
          <w:p w:rsidR="00EA00BE" w:rsidRDefault="00EA00BE" w:rsidP="00EA00BE">
            <w:r>
              <w:t xml:space="preserve">Wyniki – metoda </w:t>
            </w:r>
            <w:proofErr w:type="spellStart"/>
            <w:r>
              <w:t>Jominiego</w:t>
            </w:r>
            <w:proofErr w:type="spellEnd"/>
            <w:r>
              <w:t>:</w:t>
            </w:r>
          </w:p>
          <w:p w:rsidR="00EA00BE" w:rsidRDefault="00EA00BE" w:rsidP="00EA00BE">
            <w:r>
              <w:t xml:space="preserve">- odległość krytyczna </w:t>
            </w:r>
            <w:proofErr w:type="spellStart"/>
            <w:r>
              <w:t>L</w:t>
            </w:r>
            <w:r w:rsidRPr="00EA00BE">
              <w:rPr>
                <w:vertAlign w:val="subscript"/>
              </w:rPr>
              <w:t>kr</w:t>
            </w:r>
            <w:proofErr w:type="spellEnd"/>
            <w:r>
              <w:t xml:space="preserve"> = 18mm</w:t>
            </w:r>
          </w:p>
          <w:p w:rsidR="00EA00BE" w:rsidRDefault="00EA00BE" w:rsidP="00EA00BE">
            <w:r>
              <w:t xml:space="preserve">- średnica krytyczna </w:t>
            </w:r>
            <w:proofErr w:type="spellStart"/>
            <w:r>
              <w:t>D</w:t>
            </w:r>
            <w:r w:rsidRPr="00EA00BE">
              <w:rPr>
                <w:vertAlign w:val="subscript"/>
              </w:rPr>
              <w:t>kr</w:t>
            </w:r>
            <w:proofErr w:type="spellEnd"/>
            <w:r>
              <w:t xml:space="preserve"> = 75 mm</w:t>
            </w:r>
          </w:p>
          <w:p w:rsidR="00EA00BE" w:rsidRDefault="00EA00BE" w:rsidP="00EA00BE">
            <w:r>
              <w:t>- idealna średnica krytyczna D</w:t>
            </w:r>
            <w:r w:rsidRPr="00EA00BE">
              <w:rPr>
                <w:vertAlign w:val="subscript"/>
              </w:rPr>
              <w:t>i kr</w:t>
            </w:r>
            <w:r>
              <w:t xml:space="preserve"> = 92 mm</w:t>
            </w:r>
          </w:p>
          <w:p w:rsidR="00112940" w:rsidRDefault="00112940" w:rsidP="00EA00BE"/>
          <w:p w:rsidR="00112940" w:rsidRDefault="00112940" w:rsidP="00EA00BE"/>
          <w:p w:rsidR="00112940" w:rsidRDefault="00112940" w:rsidP="00EA00BE"/>
          <w:p w:rsidR="00112940" w:rsidRDefault="00112940" w:rsidP="00EA00BE"/>
          <w:p w:rsidR="00112940" w:rsidRDefault="00112940" w:rsidP="00EA00BE">
            <w:r>
              <w:t>Wyniki – metoda Grossmana:</w:t>
            </w:r>
          </w:p>
          <w:p w:rsidR="00112940" w:rsidRDefault="00112940" w:rsidP="00EA00BE">
            <w:r>
              <w:t>- idealna średnica krytyczna D</w:t>
            </w:r>
            <w:r w:rsidRPr="00112940">
              <w:rPr>
                <w:vertAlign w:val="subscript"/>
              </w:rPr>
              <w:t xml:space="preserve">i kr </w:t>
            </w:r>
            <w:r>
              <w:t>= 96,08 mm</w:t>
            </w:r>
          </w:p>
          <w:p w:rsidR="00112940" w:rsidRDefault="00112940" w:rsidP="00EA00BE">
            <w:r>
              <w:t>- rzeczywista średnica krytyczna D</w:t>
            </w:r>
            <w:r w:rsidRPr="00112940">
              <w:rPr>
                <w:vertAlign w:val="subscript"/>
              </w:rPr>
              <w:t>R kr</w:t>
            </w:r>
            <w:r>
              <w:t xml:space="preserve"> = 79 mm</w:t>
            </w:r>
          </w:p>
          <w:p w:rsidR="00112940" w:rsidRPr="00EA00BE" w:rsidRDefault="00112940" w:rsidP="00EA00BE"/>
        </w:tc>
      </w:tr>
      <w:tr w:rsidR="008A39FB" w:rsidTr="00C100AD">
        <w:tc>
          <w:tcPr>
            <w:tcW w:w="11199" w:type="dxa"/>
            <w:gridSpan w:val="3"/>
          </w:tcPr>
          <w:p w:rsidR="008A39FB" w:rsidRDefault="008A39FB">
            <w:r>
              <w:lastRenderedPageBreak/>
              <w:t>5. Wnioski</w:t>
            </w:r>
          </w:p>
          <w:p w:rsidR="008A39FB" w:rsidRDefault="008A39FB"/>
          <w:p w:rsidR="008A39FB" w:rsidRDefault="006E0125">
            <w:r>
              <w:t xml:space="preserve">Otrzymane wyniki metodą </w:t>
            </w:r>
            <w:proofErr w:type="spellStart"/>
            <w:r>
              <w:t>Jomniego</w:t>
            </w:r>
            <w:proofErr w:type="spellEnd"/>
            <w:r>
              <w:t xml:space="preserve"> jeśli chodzi o wartość idealnej średnicy krytycznej jest większa niż rzeczywistej średnicy krytycznej. Mimo tego że metoda sama w sobie jest dość skuteczna tj. małym nakładem pracy i bez skomplikowanej aparatury można opracować wnioski o przyzwoitej dokładności to jednak z pewnych powodów które tu omówię, nie jest ona w 100% dokładna. Z założenia samej metody wynika otrzymanie zmiennej intensywności chłodzenia, w ten sposób na końcu próbki intensywność chłodzenia znacznie się różniła od czoła co pozwalało na przemiany dyfuzyjne co niestety odbija się na twardości naszej próbki. Wykres który na podstawie otrzymanych danych sporządziliśmy pokazuje że zależność twardości od odległości od czoła nie jest funkcją liniową, widać także że największa twardość występuje przy powierzchni gdzie intensywność chłodzenie była największa, następstwem różnic w intensywności chłodzenia jest też miększy rdzeń próbki. Natomiast korzystając z metody analitycznej Grossmana otrzymaliśmy średnicę krytyczną i idealną średnicę krytyczną bardzo podobną co do wartości wyznaczonych w metodzie </w:t>
            </w:r>
            <w:proofErr w:type="spellStart"/>
            <w:r>
              <w:t>Jominiego</w:t>
            </w:r>
            <w:proofErr w:type="spellEnd"/>
            <w:r>
              <w:t xml:space="preserve">. </w:t>
            </w:r>
            <w:r w:rsidR="0052116B">
              <w:t xml:space="preserve">Oczywiście wpływ na wyniki mogły mieć też błędy w pomiarze itd. </w:t>
            </w:r>
            <w:r>
              <w:t>Mimo wszystkich odstępstw od wzorcowych wartości, skuteczność obu metod można ocenić na co najmniej zadowalającą</w:t>
            </w:r>
            <w:r w:rsidR="0052116B">
              <w:t xml:space="preserve"> co uzasadnia popularność powyższych metod.</w:t>
            </w:r>
          </w:p>
          <w:p w:rsidR="008A39FB" w:rsidRDefault="008A39FB"/>
          <w:p w:rsidR="008A39FB" w:rsidRDefault="008A39FB"/>
        </w:tc>
      </w:tr>
    </w:tbl>
    <w:p w:rsidR="003E0B5A" w:rsidRDefault="003E0B5A" w:rsidP="008A39FB"/>
    <w:sectPr w:rsidR="003E0B5A" w:rsidSect="00C100AD">
      <w:pgSz w:w="11906" w:h="16838"/>
      <w:pgMar w:top="720" w:right="720" w:bottom="720" w:left="720" w:header="283"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6C" w:rsidRDefault="000C006C" w:rsidP="008A39FB">
      <w:pPr>
        <w:spacing w:after="0" w:line="240" w:lineRule="auto"/>
      </w:pPr>
      <w:r>
        <w:separator/>
      </w:r>
    </w:p>
  </w:endnote>
  <w:endnote w:type="continuationSeparator" w:id="0">
    <w:p w:rsidR="000C006C" w:rsidRDefault="000C006C" w:rsidP="008A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6C" w:rsidRDefault="000C006C" w:rsidP="008A39FB">
      <w:pPr>
        <w:spacing w:after="0" w:line="240" w:lineRule="auto"/>
      </w:pPr>
      <w:r>
        <w:separator/>
      </w:r>
    </w:p>
  </w:footnote>
  <w:footnote w:type="continuationSeparator" w:id="0">
    <w:p w:rsidR="000C006C" w:rsidRDefault="000C006C" w:rsidP="008A3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3EEB"/>
    <w:multiLevelType w:val="hybridMultilevel"/>
    <w:tmpl w:val="F7842A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6504E84"/>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A39FB"/>
    <w:rsid w:val="000344A3"/>
    <w:rsid w:val="000C006C"/>
    <w:rsid w:val="000F608C"/>
    <w:rsid w:val="00112940"/>
    <w:rsid w:val="00181936"/>
    <w:rsid w:val="00190BD3"/>
    <w:rsid w:val="001945E6"/>
    <w:rsid w:val="001C5E47"/>
    <w:rsid w:val="002108F5"/>
    <w:rsid w:val="00297871"/>
    <w:rsid w:val="002C2077"/>
    <w:rsid w:val="00306B2D"/>
    <w:rsid w:val="003975BE"/>
    <w:rsid w:val="003E0B5A"/>
    <w:rsid w:val="004261A4"/>
    <w:rsid w:val="004968CA"/>
    <w:rsid w:val="004E11FE"/>
    <w:rsid w:val="0052116B"/>
    <w:rsid w:val="005247E0"/>
    <w:rsid w:val="0062654F"/>
    <w:rsid w:val="006626E7"/>
    <w:rsid w:val="006650AF"/>
    <w:rsid w:val="006D6349"/>
    <w:rsid w:val="006E0125"/>
    <w:rsid w:val="008A39FB"/>
    <w:rsid w:val="008A5597"/>
    <w:rsid w:val="008F7009"/>
    <w:rsid w:val="009010CE"/>
    <w:rsid w:val="00A75B3E"/>
    <w:rsid w:val="00B044CF"/>
    <w:rsid w:val="00BE2D32"/>
    <w:rsid w:val="00C035EF"/>
    <w:rsid w:val="00C100AD"/>
    <w:rsid w:val="00D56370"/>
    <w:rsid w:val="00D8206E"/>
    <w:rsid w:val="00DC4C71"/>
    <w:rsid w:val="00EA00BE"/>
    <w:rsid w:val="00F81E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E0B5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8A3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8A39FB"/>
    <w:pPr>
      <w:ind w:left="720"/>
      <w:contextualSpacing/>
    </w:pPr>
  </w:style>
  <w:style w:type="paragraph" w:styleId="Nagwek">
    <w:name w:val="header"/>
    <w:basedOn w:val="Normalny"/>
    <w:link w:val="NagwekZnak"/>
    <w:uiPriority w:val="99"/>
    <w:unhideWhenUsed/>
    <w:rsid w:val="008A39F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A39FB"/>
  </w:style>
  <w:style w:type="paragraph" w:styleId="Stopka">
    <w:name w:val="footer"/>
    <w:basedOn w:val="Normalny"/>
    <w:link w:val="StopkaZnak"/>
    <w:uiPriority w:val="99"/>
    <w:unhideWhenUsed/>
    <w:rsid w:val="008A39F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A39FB"/>
  </w:style>
  <w:style w:type="paragraph" w:styleId="Tekstdymka">
    <w:name w:val="Balloon Text"/>
    <w:basedOn w:val="Normalny"/>
    <w:link w:val="TekstdymkaZnak"/>
    <w:uiPriority w:val="99"/>
    <w:semiHidden/>
    <w:unhideWhenUsed/>
    <w:rsid w:val="008A39F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A39FB"/>
    <w:rPr>
      <w:rFonts w:ascii="Tahoma" w:hAnsi="Tahoma" w:cs="Tahoma"/>
      <w:sz w:val="16"/>
      <w:szCs w:val="16"/>
    </w:rPr>
  </w:style>
  <w:style w:type="paragraph" w:styleId="NormalnyWeb">
    <w:name w:val="Normal (Web)"/>
    <w:basedOn w:val="Normalny"/>
    <w:uiPriority w:val="99"/>
    <w:unhideWhenUsed/>
    <w:rsid w:val="0018193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Tekstzastpczy">
    <w:name w:val="Placeholder Text"/>
    <w:basedOn w:val="Domylnaczcionkaakapitu"/>
    <w:uiPriority w:val="99"/>
    <w:semiHidden/>
    <w:rsid w:val="000344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7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bmp"/></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0"/>
              <a:t>Wykres "U" - </a:t>
            </a:r>
            <a:r>
              <a:rPr lang="pl-PL" sz="1200" b="0"/>
              <a:t>przekrój twardości</a:t>
            </a:r>
            <a:r>
              <a:rPr lang="pl-PL" sz="1200" b="0" baseline="0"/>
              <a:t> próbki</a:t>
            </a:r>
            <a:endParaRPr lang="en-US" sz="1200" b="0"/>
          </a:p>
        </c:rich>
      </c:tx>
      <c:overlay val="0"/>
    </c:title>
    <c:autoTitleDeleted val="0"/>
    <c:plotArea>
      <c:layout/>
      <c:lineChart>
        <c:grouping val="standard"/>
        <c:varyColors val="0"/>
        <c:ser>
          <c:idx val="0"/>
          <c:order val="0"/>
          <c:tx>
            <c:strRef>
              <c:f>Arkusz1!$B$1</c:f>
              <c:strCache>
                <c:ptCount val="1"/>
                <c:pt idx="0">
                  <c:v>Wykres "U" - zależność twardości od odległości od osii próbki</c:v>
                </c:pt>
              </c:strCache>
            </c:strRef>
          </c:tx>
          <c:cat>
            <c:numRef>
              <c:f>Arkusz1!$A$2:$A$24</c:f>
              <c:numCache>
                <c:formatCode>General</c:formatCode>
                <c:ptCount val="23"/>
                <c:pt idx="0">
                  <c:v>72</c:v>
                </c:pt>
                <c:pt idx="1">
                  <c:v>56</c:v>
                </c:pt>
                <c:pt idx="2">
                  <c:v>45</c:v>
                </c:pt>
                <c:pt idx="3">
                  <c:v>38</c:v>
                </c:pt>
                <c:pt idx="4">
                  <c:v>32</c:v>
                </c:pt>
                <c:pt idx="5">
                  <c:v>26</c:v>
                </c:pt>
                <c:pt idx="6">
                  <c:v>21</c:v>
                </c:pt>
                <c:pt idx="7">
                  <c:v>16</c:v>
                </c:pt>
                <c:pt idx="8">
                  <c:v>11</c:v>
                </c:pt>
                <c:pt idx="9">
                  <c:v>7</c:v>
                </c:pt>
                <c:pt idx="10">
                  <c:v>4</c:v>
                </c:pt>
                <c:pt idx="11">
                  <c:v>2</c:v>
                </c:pt>
                <c:pt idx="12">
                  <c:v>4</c:v>
                </c:pt>
                <c:pt idx="13">
                  <c:v>7</c:v>
                </c:pt>
                <c:pt idx="14">
                  <c:v>11</c:v>
                </c:pt>
                <c:pt idx="15">
                  <c:v>16</c:v>
                </c:pt>
                <c:pt idx="16">
                  <c:v>21</c:v>
                </c:pt>
                <c:pt idx="17">
                  <c:v>26</c:v>
                </c:pt>
                <c:pt idx="18">
                  <c:v>32</c:v>
                </c:pt>
                <c:pt idx="19">
                  <c:v>38</c:v>
                </c:pt>
                <c:pt idx="20">
                  <c:v>45</c:v>
                </c:pt>
                <c:pt idx="21">
                  <c:v>56</c:v>
                </c:pt>
                <c:pt idx="22">
                  <c:v>72</c:v>
                </c:pt>
              </c:numCache>
            </c:numRef>
          </c:cat>
          <c:val>
            <c:numRef>
              <c:f>Arkusz1!$B$2:$B$24</c:f>
              <c:numCache>
                <c:formatCode>General</c:formatCode>
                <c:ptCount val="23"/>
                <c:pt idx="0">
                  <c:v>58</c:v>
                </c:pt>
                <c:pt idx="1">
                  <c:v>57</c:v>
                </c:pt>
                <c:pt idx="2">
                  <c:v>56</c:v>
                </c:pt>
                <c:pt idx="3">
                  <c:v>55</c:v>
                </c:pt>
                <c:pt idx="4">
                  <c:v>48</c:v>
                </c:pt>
                <c:pt idx="5">
                  <c:v>41</c:v>
                </c:pt>
                <c:pt idx="6">
                  <c:v>37</c:v>
                </c:pt>
                <c:pt idx="7">
                  <c:v>37</c:v>
                </c:pt>
                <c:pt idx="8">
                  <c:v>36</c:v>
                </c:pt>
                <c:pt idx="9">
                  <c:v>28</c:v>
                </c:pt>
                <c:pt idx="10">
                  <c:v>23</c:v>
                </c:pt>
                <c:pt idx="11">
                  <c:v>21</c:v>
                </c:pt>
                <c:pt idx="12">
                  <c:v>23</c:v>
                </c:pt>
                <c:pt idx="13">
                  <c:v>28</c:v>
                </c:pt>
                <c:pt idx="14">
                  <c:v>36</c:v>
                </c:pt>
                <c:pt idx="15">
                  <c:v>37</c:v>
                </c:pt>
                <c:pt idx="16">
                  <c:v>37</c:v>
                </c:pt>
                <c:pt idx="17">
                  <c:v>41</c:v>
                </c:pt>
                <c:pt idx="18">
                  <c:v>48</c:v>
                </c:pt>
                <c:pt idx="19">
                  <c:v>55</c:v>
                </c:pt>
                <c:pt idx="20">
                  <c:v>56</c:v>
                </c:pt>
                <c:pt idx="21">
                  <c:v>57</c:v>
                </c:pt>
                <c:pt idx="22">
                  <c:v>58</c:v>
                </c:pt>
              </c:numCache>
            </c:numRef>
          </c:val>
          <c:smooth val="0"/>
        </c:ser>
        <c:dLbls>
          <c:showLegendKey val="0"/>
          <c:showVal val="0"/>
          <c:showCatName val="0"/>
          <c:showSerName val="0"/>
          <c:showPercent val="0"/>
          <c:showBubbleSize val="0"/>
        </c:dLbls>
        <c:marker val="1"/>
        <c:smooth val="0"/>
        <c:axId val="99002624"/>
        <c:axId val="99135872"/>
      </c:lineChart>
      <c:catAx>
        <c:axId val="99002624"/>
        <c:scaling>
          <c:orientation val="minMax"/>
        </c:scaling>
        <c:delete val="0"/>
        <c:axPos val="b"/>
        <c:title>
          <c:tx>
            <c:rich>
              <a:bodyPr/>
              <a:lstStyle/>
              <a:p>
                <a:pPr>
                  <a:defRPr/>
                </a:pPr>
                <a:r>
                  <a:rPr lang="pl-PL" b="0"/>
                  <a:t>Odległość</a:t>
                </a:r>
                <a:r>
                  <a:rPr lang="pl-PL" b="0" baseline="0"/>
                  <a:t> od środka osii [mm]</a:t>
                </a:r>
                <a:endParaRPr lang="pl-PL" b="0"/>
              </a:p>
            </c:rich>
          </c:tx>
          <c:overlay val="0"/>
        </c:title>
        <c:numFmt formatCode="General" sourceLinked="1"/>
        <c:majorTickMark val="out"/>
        <c:minorTickMark val="none"/>
        <c:tickLblPos val="nextTo"/>
        <c:crossAx val="99135872"/>
        <c:crosses val="autoZero"/>
        <c:auto val="1"/>
        <c:lblAlgn val="ctr"/>
        <c:lblOffset val="100"/>
        <c:noMultiLvlLbl val="0"/>
      </c:catAx>
      <c:valAx>
        <c:axId val="99135872"/>
        <c:scaling>
          <c:orientation val="minMax"/>
        </c:scaling>
        <c:delete val="0"/>
        <c:axPos val="l"/>
        <c:majorGridlines/>
        <c:title>
          <c:tx>
            <c:rich>
              <a:bodyPr rot="-5400000" vert="horz"/>
              <a:lstStyle/>
              <a:p>
                <a:pPr>
                  <a:defRPr/>
                </a:pPr>
                <a:r>
                  <a:rPr lang="pl-PL" b="1"/>
                  <a:t>Hartowność [HRC</a:t>
                </a:r>
                <a:r>
                  <a:rPr lang="pl-PL" b="0"/>
                  <a:t>]</a:t>
                </a:r>
              </a:p>
            </c:rich>
          </c:tx>
          <c:overlay val="0"/>
        </c:title>
        <c:numFmt formatCode="General" sourceLinked="1"/>
        <c:majorTickMark val="out"/>
        <c:minorTickMark val="none"/>
        <c:tickLblPos val="nextTo"/>
        <c:crossAx val="990026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C3E540-B4DD-45DD-87E3-C0E11FADF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863</Words>
  <Characters>5180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Badania hartowności stali</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Badania hartowności stali</dc:title>
  <dc:subject>Eksperymentalne badanie hartowności różnych rodzajów stali</dc:subject>
  <cp:keywords>Metaloznawstwo; Sprawozdanie; laboratorium; 4; Hartowność; AGH</cp:keywords>
  <cp:lastModifiedBy>Piotr</cp:lastModifiedBy>
  <cp:revision>10</cp:revision>
  <cp:lastPrinted>2015-11-24T21:26:00Z</cp:lastPrinted>
  <dcterms:created xsi:type="dcterms:W3CDTF">2014-03-31T07:30:00Z</dcterms:created>
  <dcterms:modified xsi:type="dcterms:W3CDTF">2016-01-27T00:53:00Z</dcterms:modified>
  <cp:version>1.0</cp:version>
</cp:coreProperties>
</file>