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D8D" w14:textId="77777777" w:rsidR="00C92965" w:rsidRDefault="00C92965">
      <w:bookmarkStart w:id="0" w:name="_Hlk153101808"/>
      <w:bookmarkEnd w:id="0"/>
    </w:p>
    <w:p w14:paraId="33563BEE" w14:textId="77777777" w:rsidR="00C92965" w:rsidRDefault="00C92965">
      <w:pPr>
        <w:jc w:val="center"/>
        <w:rPr>
          <w:b/>
        </w:rPr>
      </w:pPr>
    </w:p>
    <w:p w14:paraId="0E45EDE9" w14:textId="77777777" w:rsidR="00C92965" w:rsidRDefault="00C92965">
      <w:pPr>
        <w:jc w:val="center"/>
        <w:rPr>
          <w:b/>
        </w:rPr>
      </w:pPr>
    </w:p>
    <w:p w14:paraId="2BC4ABF5" w14:textId="77777777" w:rsidR="00C92965" w:rsidRDefault="00000000">
      <w:pPr>
        <w:spacing w:after="240"/>
        <w:jc w:val="center"/>
      </w:pPr>
      <w:r>
        <w:rPr>
          <w:noProof/>
        </w:rPr>
        <w:drawing>
          <wp:inline distT="0" distB="0" distL="0" distR="0" wp14:anchorId="6345CE20" wp14:editId="08019372">
            <wp:extent cx="4127500" cy="1117600"/>
            <wp:effectExtent l="0" t="0" r="0" b="0"/>
            <wp:docPr id="2" name="image9.png" descr="Une image contenant Police, Graphique, capture d’écran,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9.png" descr="Une image contenant Police, Graphique, capture d’écran, logo&#10;&#10;Description générée automatiquement"/>
                    <pic:cNvPicPr preferRelativeResize="0"/>
                  </pic:nvPicPr>
                  <pic:blipFill>
                    <a:blip r:embed="rId9"/>
                    <a:srcRect/>
                    <a:stretch>
                      <a:fillRect/>
                    </a:stretch>
                  </pic:blipFill>
                  <pic:spPr>
                    <a:xfrm>
                      <a:off x="0" y="0"/>
                      <a:ext cx="4127500" cy="1117600"/>
                    </a:xfrm>
                    <a:prstGeom prst="rect">
                      <a:avLst/>
                    </a:prstGeom>
                    <a:ln/>
                  </pic:spPr>
                </pic:pic>
              </a:graphicData>
            </a:graphic>
          </wp:inline>
        </w:drawing>
      </w:r>
    </w:p>
    <w:p w14:paraId="3305A534" w14:textId="77777777" w:rsidR="00C92965" w:rsidRDefault="00C92965">
      <w:pPr>
        <w:spacing w:after="240"/>
      </w:pPr>
    </w:p>
    <w:p w14:paraId="7A9F9580" w14:textId="77777777" w:rsidR="00C92965" w:rsidRDefault="00C92965">
      <w:pPr>
        <w:spacing w:after="240"/>
      </w:pPr>
    </w:p>
    <w:p w14:paraId="573758FE" w14:textId="77777777" w:rsidR="00C92965" w:rsidRDefault="00C92965">
      <w:pPr>
        <w:spacing w:after="240"/>
        <w:rPr>
          <w:sz w:val="44"/>
          <w:szCs w:val="44"/>
        </w:rPr>
      </w:pPr>
    </w:p>
    <w:p w14:paraId="015DEE1B" w14:textId="77777777" w:rsidR="00C92965" w:rsidRDefault="00000000">
      <w:pPr>
        <w:spacing w:after="240"/>
        <w:jc w:val="center"/>
        <w:rPr>
          <w:sz w:val="44"/>
          <w:szCs w:val="44"/>
        </w:rPr>
      </w:pPr>
      <w:r>
        <w:rPr>
          <w:b/>
          <w:sz w:val="44"/>
          <w:szCs w:val="44"/>
        </w:rPr>
        <w:t>Analysé Macroéconomique &amp; Gestion d’Actif</w:t>
      </w:r>
      <w:r>
        <w:rPr>
          <w:sz w:val="44"/>
          <w:szCs w:val="44"/>
        </w:rPr>
        <w:br/>
      </w:r>
    </w:p>
    <w:p w14:paraId="0B842F85" w14:textId="77777777" w:rsidR="00C92965" w:rsidRDefault="00000000">
      <w:pPr>
        <w:spacing w:after="240"/>
        <w:jc w:val="center"/>
        <w:rPr>
          <w:sz w:val="28"/>
          <w:szCs w:val="28"/>
        </w:rPr>
      </w:pPr>
      <w:r>
        <w:br/>
      </w:r>
      <w:r>
        <w:rPr>
          <w:sz w:val="28"/>
          <w:szCs w:val="28"/>
        </w:rPr>
        <w:t>Auteurs :</w:t>
      </w:r>
    </w:p>
    <w:p w14:paraId="691FAD26" w14:textId="77777777" w:rsidR="00C92965" w:rsidRDefault="00C92965">
      <w:pPr>
        <w:spacing w:after="240"/>
        <w:rPr>
          <w:sz w:val="28"/>
          <w:szCs w:val="28"/>
        </w:rPr>
      </w:pPr>
    </w:p>
    <w:p w14:paraId="7F427A1B" w14:textId="77777777" w:rsidR="00C92965" w:rsidRDefault="00000000">
      <w:pPr>
        <w:spacing w:after="240"/>
        <w:jc w:val="center"/>
        <w:rPr>
          <w:color w:val="000000"/>
          <w:sz w:val="28"/>
          <w:szCs w:val="28"/>
        </w:rPr>
      </w:pPr>
      <w:r>
        <w:rPr>
          <w:sz w:val="28"/>
          <w:szCs w:val="28"/>
        </w:rPr>
        <w:t xml:space="preserve">Naïm </w:t>
      </w:r>
      <w:r>
        <w:rPr>
          <w:color w:val="000000"/>
          <w:sz w:val="28"/>
          <w:szCs w:val="28"/>
        </w:rPr>
        <w:t xml:space="preserve">Lehbiben, </w:t>
      </w:r>
      <w:proofErr w:type="spellStart"/>
      <w:r>
        <w:rPr>
          <w:color w:val="000000"/>
          <w:sz w:val="28"/>
          <w:szCs w:val="28"/>
        </w:rPr>
        <w:t>Joudy</w:t>
      </w:r>
      <w:proofErr w:type="spellEnd"/>
      <w:r>
        <w:rPr>
          <w:color w:val="000000"/>
          <w:sz w:val="28"/>
          <w:szCs w:val="28"/>
        </w:rPr>
        <w:t xml:space="preserve"> </w:t>
      </w:r>
      <w:proofErr w:type="spellStart"/>
      <w:r>
        <w:rPr>
          <w:color w:val="000000"/>
          <w:sz w:val="28"/>
          <w:szCs w:val="28"/>
        </w:rPr>
        <w:t>Benkaddour</w:t>
      </w:r>
      <w:proofErr w:type="spellEnd"/>
    </w:p>
    <w:p w14:paraId="34536A86" w14:textId="77777777" w:rsidR="00C92965" w:rsidRDefault="00C92965">
      <w:pPr>
        <w:spacing w:after="240"/>
        <w:jc w:val="center"/>
        <w:rPr>
          <w:sz w:val="28"/>
          <w:szCs w:val="28"/>
        </w:rPr>
      </w:pPr>
    </w:p>
    <w:p w14:paraId="7F2A7550" w14:textId="77777777" w:rsidR="00C92965" w:rsidRDefault="00000000">
      <w:pPr>
        <w:spacing w:after="240"/>
        <w:jc w:val="center"/>
        <w:rPr>
          <w:sz w:val="28"/>
          <w:szCs w:val="28"/>
        </w:rPr>
      </w:pPr>
      <w:r>
        <w:rPr>
          <w:sz w:val="28"/>
          <w:szCs w:val="28"/>
        </w:rPr>
        <w:br/>
      </w:r>
      <w:r>
        <w:rPr>
          <w:sz w:val="28"/>
          <w:szCs w:val="28"/>
        </w:rPr>
        <w:br/>
      </w:r>
      <w:r>
        <w:rPr>
          <w:sz w:val="28"/>
          <w:szCs w:val="28"/>
        </w:rPr>
        <w:br/>
      </w:r>
      <w:r>
        <w:rPr>
          <w:sz w:val="28"/>
          <w:szCs w:val="28"/>
        </w:rPr>
        <w:br/>
      </w:r>
      <w:r>
        <w:rPr>
          <w:sz w:val="28"/>
          <w:szCs w:val="28"/>
        </w:rPr>
        <w:br/>
      </w:r>
    </w:p>
    <w:p w14:paraId="1AE367B7" w14:textId="77777777" w:rsidR="00C92965" w:rsidRDefault="00C92965">
      <w:pPr>
        <w:spacing w:after="240"/>
        <w:jc w:val="center"/>
        <w:rPr>
          <w:sz w:val="28"/>
          <w:szCs w:val="28"/>
        </w:rPr>
      </w:pPr>
    </w:p>
    <w:p w14:paraId="210E8F74" w14:textId="77777777" w:rsidR="00C92965" w:rsidRDefault="00C92965">
      <w:pPr>
        <w:spacing w:after="240"/>
        <w:jc w:val="center"/>
        <w:rPr>
          <w:sz w:val="28"/>
          <w:szCs w:val="28"/>
        </w:rPr>
      </w:pPr>
    </w:p>
    <w:p w14:paraId="46A222EB" w14:textId="77777777" w:rsidR="00C92965" w:rsidRDefault="00C92965">
      <w:pPr>
        <w:spacing w:after="240"/>
        <w:jc w:val="center"/>
        <w:rPr>
          <w:sz w:val="28"/>
          <w:szCs w:val="28"/>
        </w:rPr>
      </w:pPr>
    </w:p>
    <w:p w14:paraId="552259AD" w14:textId="77777777" w:rsidR="00C92965" w:rsidRDefault="00C92965">
      <w:pPr>
        <w:spacing w:after="240"/>
        <w:jc w:val="center"/>
        <w:rPr>
          <w:sz w:val="28"/>
          <w:szCs w:val="28"/>
        </w:rPr>
      </w:pPr>
    </w:p>
    <w:p w14:paraId="21D7268E" w14:textId="77777777" w:rsidR="00C92965" w:rsidRDefault="00C92965">
      <w:pPr>
        <w:spacing w:after="240"/>
        <w:jc w:val="center"/>
        <w:rPr>
          <w:sz w:val="28"/>
          <w:szCs w:val="28"/>
        </w:rPr>
      </w:pPr>
    </w:p>
    <w:p w14:paraId="455C3435" w14:textId="520077FA" w:rsidR="00C92965" w:rsidRDefault="00000000" w:rsidP="00067716">
      <w:pPr>
        <w:spacing w:after="240"/>
        <w:jc w:val="center"/>
        <w:rPr>
          <w:sz w:val="28"/>
          <w:szCs w:val="28"/>
        </w:rPr>
      </w:pPr>
      <w:r>
        <w:rPr>
          <w:sz w:val="28"/>
          <w:szCs w:val="28"/>
        </w:rPr>
        <w:t xml:space="preserve">Université Paris Dauphine </w:t>
      </w:r>
      <w:r w:rsidR="00067716">
        <w:rPr>
          <w:sz w:val="28"/>
          <w:szCs w:val="28"/>
        </w:rPr>
        <w:t>–</w:t>
      </w:r>
      <w:r>
        <w:rPr>
          <w:sz w:val="28"/>
          <w:szCs w:val="28"/>
        </w:rPr>
        <w:t xml:space="preserve"> PSL</w:t>
      </w:r>
    </w:p>
    <w:p w14:paraId="2F67D535" w14:textId="77777777" w:rsidR="00067716" w:rsidRDefault="00067716" w:rsidP="00067716">
      <w:pPr>
        <w:spacing w:after="240"/>
        <w:jc w:val="center"/>
        <w:rPr>
          <w:sz w:val="28"/>
          <w:szCs w:val="28"/>
        </w:rPr>
      </w:pPr>
    </w:p>
    <w:p w14:paraId="7D4BB36F" w14:textId="77777777" w:rsidR="00C92965" w:rsidRDefault="00000000">
      <w:pPr>
        <w:spacing w:after="240"/>
        <w:jc w:val="center"/>
        <w:rPr>
          <w:sz w:val="28"/>
          <w:szCs w:val="28"/>
        </w:rPr>
      </w:pPr>
      <w:r>
        <w:rPr>
          <w:sz w:val="28"/>
          <w:szCs w:val="28"/>
        </w:rPr>
        <w:t>Décembre, 2023</w:t>
      </w:r>
    </w:p>
    <w:p w14:paraId="5C2FB5E3" w14:textId="77777777" w:rsidR="00C92965" w:rsidRDefault="00C92965">
      <w:pPr>
        <w:spacing w:after="240"/>
        <w:jc w:val="center"/>
        <w:rPr>
          <w:sz w:val="28"/>
          <w:szCs w:val="28"/>
        </w:rPr>
      </w:pPr>
    </w:p>
    <w:p w14:paraId="2D61BC61" w14:textId="77777777" w:rsidR="00C92965" w:rsidRPr="00011A44" w:rsidRDefault="00000000" w:rsidP="00011A44">
      <w:pPr>
        <w:numPr>
          <w:ilvl w:val="0"/>
          <w:numId w:val="8"/>
        </w:numPr>
        <w:pBdr>
          <w:top w:val="nil"/>
          <w:left w:val="nil"/>
          <w:bottom w:val="nil"/>
          <w:right w:val="nil"/>
          <w:between w:val="nil"/>
        </w:pBdr>
        <w:jc w:val="both"/>
        <w:rPr>
          <w:rFonts w:ascii="Arial" w:eastAsia="Arial" w:hAnsi="Arial" w:cs="Arial"/>
          <w:b/>
          <w:color w:val="0E101A"/>
          <w:sz w:val="28"/>
          <w:szCs w:val="28"/>
        </w:rPr>
      </w:pPr>
      <w:r w:rsidRPr="00011A44">
        <w:rPr>
          <w:rFonts w:ascii="Arial" w:eastAsia="Arial" w:hAnsi="Arial" w:cs="Arial"/>
          <w:b/>
          <w:color w:val="0E101A"/>
          <w:sz w:val="28"/>
          <w:szCs w:val="28"/>
          <w:u w:val="single"/>
        </w:rPr>
        <w:lastRenderedPageBreak/>
        <w:t>Scénario économique</w:t>
      </w:r>
      <w:r w:rsidRPr="00011A44">
        <w:rPr>
          <w:rFonts w:ascii="Arial" w:eastAsia="Arial" w:hAnsi="Arial" w:cs="Arial"/>
          <w:color w:val="0E101A"/>
          <w:sz w:val="28"/>
          <w:szCs w:val="28"/>
        </w:rPr>
        <w:t> </w:t>
      </w:r>
      <w:r w:rsidRPr="00011A44">
        <w:rPr>
          <w:rFonts w:ascii="Arial" w:eastAsia="Arial" w:hAnsi="Arial" w:cs="Arial"/>
          <w:b/>
          <w:color w:val="0E101A"/>
          <w:sz w:val="28"/>
          <w:szCs w:val="28"/>
        </w:rPr>
        <w:t>:</w:t>
      </w:r>
    </w:p>
    <w:p w14:paraId="198492D5" w14:textId="77777777" w:rsidR="00C92965" w:rsidRPr="00011A44" w:rsidRDefault="00C92965" w:rsidP="00011A44">
      <w:pPr>
        <w:jc w:val="both"/>
        <w:rPr>
          <w:rFonts w:ascii="Arial" w:eastAsia="Arial" w:hAnsi="Arial" w:cs="Arial"/>
          <w:color w:val="0E101A"/>
          <w:sz w:val="36"/>
          <w:szCs w:val="36"/>
        </w:rPr>
      </w:pPr>
    </w:p>
    <w:p w14:paraId="0E01B4B2" w14:textId="77777777" w:rsidR="00C92965" w:rsidRPr="00011A44" w:rsidRDefault="00000000" w:rsidP="00011A44">
      <w:pPr>
        <w:numPr>
          <w:ilvl w:val="0"/>
          <w:numId w:val="6"/>
        </w:numPr>
        <w:pBdr>
          <w:top w:val="nil"/>
          <w:left w:val="nil"/>
          <w:bottom w:val="nil"/>
          <w:right w:val="nil"/>
          <w:between w:val="nil"/>
        </w:pBdr>
        <w:jc w:val="both"/>
        <w:rPr>
          <w:rFonts w:ascii="Arial" w:eastAsia="Arial" w:hAnsi="Arial" w:cs="Arial"/>
          <w:color w:val="0E101A"/>
          <w:sz w:val="26"/>
          <w:szCs w:val="26"/>
        </w:rPr>
      </w:pPr>
      <w:r w:rsidRPr="00011A44">
        <w:rPr>
          <w:rFonts w:ascii="Arial" w:eastAsia="Arial" w:hAnsi="Arial" w:cs="Arial"/>
          <w:color w:val="0E101A"/>
          <w:sz w:val="26"/>
          <w:szCs w:val="26"/>
          <w:u w:val="single"/>
        </w:rPr>
        <w:t>Présentation des indicateur retenues</w:t>
      </w:r>
      <w:r w:rsidRPr="00011A44">
        <w:rPr>
          <w:rFonts w:ascii="Arial" w:eastAsia="Arial" w:hAnsi="Arial" w:cs="Arial"/>
          <w:color w:val="0E101A"/>
          <w:sz w:val="26"/>
          <w:szCs w:val="26"/>
        </w:rPr>
        <w:t xml:space="preserve"> :  </w:t>
      </w:r>
    </w:p>
    <w:p w14:paraId="727DD6CB" w14:textId="77777777" w:rsidR="00C92965" w:rsidRPr="00011A44" w:rsidRDefault="00C92965" w:rsidP="00011A44">
      <w:pPr>
        <w:pBdr>
          <w:top w:val="nil"/>
          <w:left w:val="nil"/>
          <w:bottom w:val="nil"/>
          <w:right w:val="nil"/>
          <w:between w:val="nil"/>
        </w:pBdr>
        <w:ind w:left="720"/>
        <w:jc w:val="both"/>
        <w:rPr>
          <w:rFonts w:ascii="Arial" w:eastAsia="Arial" w:hAnsi="Arial" w:cs="Arial"/>
          <w:color w:val="0E101A"/>
          <w:sz w:val="32"/>
          <w:szCs w:val="32"/>
        </w:rPr>
      </w:pPr>
    </w:p>
    <w:p w14:paraId="60A62A8C" w14:textId="77777777" w:rsidR="00C92965" w:rsidRPr="00011A44" w:rsidRDefault="00000000" w:rsidP="00011A44">
      <w:pPr>
        <w:ind w:firstLine="720"/>
        <w:jc w:val="both"/>
        <w:rPr>
          <w:rFonts w:ascii="Arial" w:eastAsia="Arial" w:hAnsi="Arial" w:cs="Arial"/>
          <w:color w:val="0E101A"/>
        </w:rPr>
      </w:pPr>
      <w:r w:rsidRPr="00011A44">
        <w:rPr>
          <w:rFonts w:ascii="Arial" w:eastAsia="Arial" w:hAnsi="Arial" w:cs="Arial"/>
          <w:color w:val="0E101A"/>
        </w:rPr>
        <w:t xml:space="preserve">En 2023, l'économie mondiale a connu une hausse significative des taux d'intérêt par les banques centrales, dans une démarche résolue de lutte contre une inflation élevée. Vers la fin de l'année, un </w:t>
      </w:r>
      <w:r w:rsidRPr="00011A44">
        <w:rPr>
          <w:rFonts w:ascii="Arial" w:eastAsia="Arial" w:hAnsi="Arial" w:cs="Arial"/>
          <w:b/>
          <w:color w:val="0E101A"/>
        </w:rPr>
        <w:t>changement dans le discours des banques centrales</w:t>
      </w:r>
      <w:r w:rsidRPr="00011A44">
        <w:rPr>
          <w:rFonts w:ascii="Arial" w:eastAsia="Arial" w:hAnsi="Arial" w:cs="Arial"/>
          <w:color w:val="0E101A"/>
        </w:rPr>
        <w:t xml:space="preserve"> a été observé, indiquant une potentielle modération de cette politique. Cette conjoncture a eu un impact direct sur les marchés financiers et les décisions d'investissement, posant les bases pour l'élaboration de stratégies en 2024.</w:t>
      </w:r>
    </w:p>
    <w:p w14:paraId="61BB1FFD" w14:textId="77777777" w:rsidR="00C92965" w:rsidRPr="00011A44" w:rsidRDefault="00C92965" w:rsidP="00011A44">
      <w:pPr>
        <w:jc w:val="both"/>
        <w:rPr>
          <w:rFonts w:ascii="Arial" w:eastAsia="Arial" w:hAnsi="Arial" w:cs="Arial"/>
          <w:color w:val="0E101A"/>
        </w:rPr>
      </w:pPr>
    </w:p>
    <w:p w14:paraId="62C712A9" w14:textId="77777777" w:rsidR="00C92965" w:rsidRPr="00011A44" w:rsidRDefault="00000000" w:rsidP="00011A44">
      <w:pPr>
        <w:jc w:val="both"/>
        <w:rPr>
          <w:rFonts w:ascii="Arial" w:eastAsia="Arial" w:hAnsi="Arial" w:cs="Arial"/>
          <w:b/>
          <w:color w:val="0E101A"/>
        </w:rPr>
      </w:pPr>
      <w:r w:rsidRPr="00011A44">
        <w:rPr>
          <w:rFonts w:ascii="Arial" w:eastAsia="Arial" w:hAnsi="Arial" w:cs="Arial"/>
          <w:color w:val="0E101A"/>
        </w:rPr>
        <w:t xml:space="preserve">Pour nos prochaines analyses, nous avons choisi </w:t>
      </w:r>
      <w:r w:rsidRPr="00011A44">
        <w:rPr>
          <w:rFonts w:ascii="Arial" w:eastAsia="Arial" w:hAnsi="Arial" w:cs="Arial"/>
          <w:b/>
          <w:color w:val="0E101A"/>
        </w:rPr>
        <w:t>8 indicateurs suivants :</w:t>
      </w:r>
    </w:p>
    <w:p w14:paraId="0A23D0DD" w14:textId="77777777" w:rsidR="00C92965" w:rsidRPr="00011A44" w:rsidRDefault="00C92965" w:rsidP="00011A44">
      <w:pPr>
        <w:jc w:val="both"/>
        <w:rPr>
          <w:rFonts w:ascii="Arial" w:eastAsia="Arial" w:hAnsi="Arial" w:cs="Arial"/>
          <w:color w:val="0E101A"/>
        </w:rPr>
      </w:pPr>
    </w:p>
    <w:p w14:paraId="1B105E3E" w14:textId="77777777" w:rsidR="00C92965" w:rsidRPr="00011A44" w:rsidRDefault="00000000" w:rsidP="00011A44">
      <w:pPr>
        <w:numPr>
          <w:ilvl w:val="0"/>
          <w:numId w:val="1"/>
        </w:numPr>
        <w:pBdr>
          <w:top w:val="nil"/>
          <w:left w:val="nil"/>
          <w:bottom w:val="nil"/>
          <w:right w:val="nil"/>
          <w:between w:val="nil"/>
        </w:pBdr>
        <w:jc w:val="both"/>
        <w:rPr>
          <w:rFonts w:ascii="Arial" w:eastAsia="Arial" w:hAnsi="Arial" w:cs="Arial"/>
          <w:color w:val="0E101A"/>
        </w:rPr>
      </w:pPr>
      <w:r w:rsidRPr="00011A44">
        <w:rPr>
          <w:rFonts w:ascii="Arial" w:eastAsia="Arial" w:hAnsi="Arial" w:cs="Arial"/>
          <w:color w:val="0E101A"/>
          <w:u w:val="single"/>
        </w:rPr>
        <w:t xml:space="preserve">Les Consumer Price Index </w:t>
      </w:r>
      <w:proofErr w:type="spellStart"/>
      <w:r w:rsidRPr="00011A44">
        <w:rPr>
          <w:rFonts w:ascii="Arial" w:eastAsia="Arial" w:hAnsi="Arial" w:cs="Arial"/>
          <w:color w:val="0E101A"/>
          <w:u w:val="single"/>
        </w:rPr>
        <w:t>YoY</w:t>
      </w:r>
      <w:proofErr w:type="spellEnd"/>
      <w:r w:rsidRPr="00011A44">
        <w:rPr>
          <w:rFonts w:ascii="Arial" w:eastAsia="Arial" w:hAnsi="Arial" w:cs="Arial"/>
          <w:color w:val="0E101A"/>
        </w:rPr>
        <w:t xml:space="preserve"> pour la France et les Etats-Unis </w:t>
      </w:r>
      <w:r w:rsidRPr="00011A44">
        <w:rPr>
          <w:rFonts w:ascii="Arial" w:eastAsia="Arial" w:hAnsi="Arial" w:cs="Arial"/>
          <w:i/>
          <w:color w:val="0E101A"/>
        </w:rPr>
        <w:t>(Politique Monétaire)</w:t>
      </w:r>
      <w:r w:rsidRPr="00011A44">
        <w:rPr>
          <w:rFonts w:ascii="Arial" w:eastAsia="Arial" w:hAnsi="Arial" w:cs="Arial"/>
          <w:color w:val="0E101A"/>
        </w:rPr>
        <w:t xml:space="preserve"> : </w:t>
      </w:r>
    </w:p>
    <w:p w14:paraId="5DFC2D97"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Ces indices influencent directement la politique monétaire via le mandat de la FED et de la BCE de lutte contre l’inflation : leurs évolutions influencent donc les conditions de financement et le climat d'investissement global.</w:t>
      </w:r>
    </w:p>
    <w:p w14:paraId="2E6DD51F" w14:textId="77777777" w:rsidR="00C92965" w:rsidRPr="00011A44" w:rsidRDefault="00C92965" w:rsidP="00011A44">
      <w:pPr>
        <w:jc w:val="both"/>
        <w:rPr>
          <w:rFonts w:ascii="Arial" w:eastAsia="Arial" w:hAnsi="Arial" w:cs="Arial"/>
          <w:color w:val="0E101A"/>
        </w:rPr>
      </w:pPr>
    </w:p>
    <w:p w14:paraId="4695C2E1" w14:textId="77777777" w:rsidR="00C92965" w:rsidRPr="00011A44" w:rsidRDefault="00000000" w:rsidP="00011A44">
      <w:pPr>
        <w:numPr>
          <w:ilvl w:val="0"/>
          <w:numId w:val="2"/>
        </w:numPr>
        <w:jc w:val="both"/>
        <w:rPr>
          <w:rFonts w:ascii="Arial" w:eastAsia="Arial" w:hAnsi="Arial" w:cs="Arial"/>
          <w:color w:val="0E101A"/>
        </w:rPr>
      </w:pPr>
      <w:proofErr w:type="spellStart"/>
      <w:r w:rsidRPr="00011A44">
        <w:rPr>
          <w:rFonts w:ascii="Arial" w:eastAsia="Arial" w:hAnsi="Arial" w:cs="Arial"/>
          <w:color w:val="0E101A"/>
          <w:u w:val="single"/>
        </w:rPr>
        <w:t>Market</w:t>
      </w:r>
      <w:proofErr w:type="spellEnd"/>
      <w:r w:rsidRPr="00011A44">
        <w:rPr>
          <w:rFonts w:ascii="Arial" w:eastAsia="Arial" w:hAnsi="Arial" w:cs="Arial"/>
          <w:color w:val="0E101A"/>
          <w:u w:val="single"/>
        </w:rPr>
        <w:t xml:space="preserve"> France </w:t>
      </w:r>
      <w:proofErr w:type="spellStart"/>
      <w:r w:rsidRPr="00011A44">
        <w:rPr>
          <w:rFonts w:ascii="Arial" w:eastAsia="Arial" w:hAnsi="Arial" w:cs="Arial"/>
          <w:color w:val="0E101A"/>
          <w:u w:val="single"/>
        </w:rPr>
        <w:t>Manufacturing</w:t>
      </w:r>
      <w:proofErr w:type="spellEnd"/>
      <w:r w:rsidRPr="00011A44">
        <w:rPr>
          <w:rFonts w:ascii="Arial" w:eastAsia="Arial" w:hAnsi="Arial" w:cs="Arial"/>
          <w:color w:val="0E101A"/>
          <w:u w:val="single"/>
        </w:rPr>
        <w:t xml:space="preserve"> PMI</w:t>
      </w:r>
      <w:r w:rsidRPr="00011A44">
        <w:rPr>
          <w:rFonts w:ascii="Arial" w:eastAsia="Arial" w:hAnsi="Arial" w:cs="Arial"/>
          <w:color w:val="0E101A"/>
        </w:rPr>
        <w:t xml:space="preserve"> &amp; </w:t>
      </w:r>
      <w:proofErr w:type="spellStart"/>
      <w:r w:rsidRPr="00011A44">
        <w:rPr>
          <w:rFonts w:ascii="Arial" w:eastAsia="Arial" w:hAnsi="Arial" w:cs="Arial"/>
          <w:color w:val="0E101A"/>
          <w:u w:val="single"/>
        </w:rPr>
        <w:t>Market</w:t>
      </w:r>
      <w:proofErr w:type="spellEnd"/>
      <w:r w:rsidRPr="00011A44">
        <w:rPr>
          <w:rFonts w:ascii="Arial" w:eastAsia="Arial" w:hAnsi="Arial" w:cs="Arial"/>
          <w:color w:val="0E101A"/>
          <w:u w:val="single"/>
        </w:rPr>
        <w:t xml:space="preserve"> U.S. </w:t>
      </w:r>
      <w:proofErr w:type="spellStart"/>
      <w:r w:rsidRPr="00011A44">
        <w:rPr>
          <w:rFonts w:ascii="Arial" w:eastAsia="Arial" w:hAnsi="Arial" w:cs="Arial"/>
          <w:color w:val="0E101A"/>
          <w:u w:val="single"/>
        </w:rPr>
        <w:t>Manufacturing</w:t>
      </w:r>
      <w:proofErr w:type="spellEnd"/>
      <w:r w:rsidRPr="00011A44">
        <w:rPr>
          <w:rFonts w:ascii="Arial" w:eastAsia="Arial" w:hAnsi="Arial" w:cs="Arial"/>
          <w:color w:val="0E101A"/>
          <w:u w:val="single"/>
        </w:rPr>
        <w:t xml:space="preserve"> PMI</w:t>
      </w:r>
      <w:r w:rsidRPr="00011A44">
        <w:rPr>
          <w:rFonts w:ascii="Arial" w:eastAsia="Arial" w:hAnsi="Arial" w:cs="Arial"/>
          <w:color w:val="0E101A"/>
        </w:rPr>
        <w:t xml:space="preserve"> </w:t>
      </w:r>
      <w:r w:rsidRPr="00011A44">
        <w:rPr>
          <w:rFonts w:ascii="Arial" w:eastAsia="Arial" w:hAnsi="Arial" w:cs="Arial"/>
          <w:i/>
          <w:color w:val="0E101A"/>
        </w:rPr>
        <w:t>(Entreprise)</w:t>
      </w:r>
      <w:r w:rsidRPr="00011A44">
        <w:rPr>
          <w:rFonts w:ascii="Arial" w:eastAsia="Arial" w:hAnsi="Arial" w:cs="Arial"/>
          <w:color w:val="0E101A"/>
        </w:rPr>
        <w:t xml:space="preserve"> : </w:t>
      </w:r>
    </w:p>
    <w:p w14:paraId="7A62098D"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Ces indices reflètent l'état de santé de l'industrie manufacturière, un secteur clé pour l'économie. Ils fournissent des insights sur la production industrielle, l'emploi, et les nouvelles commandes, influençant les décisions d'investissement en actions.</w:t>
      </w:r>
    </w:p>
    <w:p w14:paraId="1E1561EF" w14:textId="77777777" w:rsidR="00C92965" w:rsidRPr="00011A44" w:rsidRDefault="00C92965" w:rsidP="00011A44">
      <w:pPr>
        <w:jc w:val="both"/>
        <w:rPr>
          <w:rFonts w:ascii="Arial" w:eastAsia="Arial" w:hAnsi="Arial" w:cs="Arial"/>
          <w:color w:val="0E101A"/>
        </w:rPr>
      </w:pPr>
    </w:p>
    <w:p w14:paraId="355ABD1B" w14:textId="77777777" w:rsidR="00C92965" w:rsidRPr="00011A44" w:rsidRDefault="00000000" w:rsidP="00011A44">
      <w:pPr>
        <w:numPr>
          <w:ilvl w:val="0"/>
          <w:numId w:val="4"/>
        </w:numPr>
        <w:jc w:val="both"/>
        <w:rPr>
          <w:rFonts w:ascii="Arial" w:eastAsia="Arial" w:hAnsi="Arial" w:cs="Arial"/>
          <w:color w:val="0E101A"/>
        </w:rPr>
      </w:pPr>
      <w:r w:rsidRPr="00011A44">
        <w:rPr>
          <w:rFonts w:ascii="Arial" w:eastAsia="Arial" w:hAnsi="Arial" w:cs="Arial"/>
          <w:color w:val="0E101A"/>
          <w:u w:val="single"/>
        </w:rPr>
        <w:t>Germany Trade Balance</w:t>
      </w:r>
      <w:r w:rsidRPr="00011A44">
        <w:rPr>
          <w:rFonts w:ascii="Arial" w:eastAsia="Arial" w:hAnsi="Arial" w:cs="Arial"/>
          <w:color w:val="0E101A"/>
        </w:rPr>
        <w:t xml:space="preserve"> &amp; </w:t>
      </w:r>
      <w:r w:rsidRPr="00011A44">
        <w:rPr>
          <w:rFonts w:ascii="Arial" w:eastAsia="Arial" w:hAnsi="Arial" w:cs="Arial"/>
          <w:color w:val="0E101A"/>
          <w:u w:val="single"/>
        </w:rPr>
        <w:t xml:space="preserve">U.S. Trade Balance of </w:t>
      </w:r>
      <w:proofErr w:type="spellStart"/>
      <w:r w:rsidRPr="00011A44">
        <w:rPr>
          <w:rFonts w:ascii="Arial" w:eastAsia="Arial" w:hAnsi="Arial" w:cs="Arial"/>
          <w:color w:val="0E101A"/>
          <w:u w:val="single"/>
        </w:rPr>
        <w:t>Goods</w:t>
      </w:r>
      <w:proofErr w:type="spellEnd"/>
      <w:r w:rsidRPr="00011A44">
        <w:rPr>
          <w:rFonts w:ascii="Arial" w:eastAsia="Arial" w:hAnsi="Arial" w:cs="Arial"/>
          <w:color w:val="0E101A"/>
          <w:u w:val="single"/>
        </w:rPr>
        <w:t xml:space="preserve"> and Services</w:t>
      </w:r>
      <w:r w:rsidRPr="00011A44">
        <w:rPr>
          <w:rFonts w:ascii="Arial" w:eastAsia="Arial" w:hAnsi="Arial" w:cs="Arial"/>
          <w:color w:val="0E101A"/>
        </w:rPr>
        <w:t xml:space="preserve"> </w:t>
      </w:r>
      <w:r w:rsidRPr="00011A44">
        <w:rPr>
          <w:rFonts w:ascii="Arial" w:eastAsia="Arial" w:hAnsi="Arial" w:cs="Arial"/>
          <w:i/>
          <w:color w:val="0E101A"/>
        </w:rPr>
        <w:t xml:space="preserve">(Commerce International) </w:t>
      </w:r>
      <w:r w:rsidRPr="00011A44">
        <w:rPr>
          <w:rFonts w:ascii="Arial" w:eastAsia="Arial" w:hAnsi="Arial" w:cs="Arial"/>
          <w:color w:val="0E101A"/>
        </w:rPr>
        <w:t>:</w:t>
      </w:r>
    </w:p>
    <w:p w14:paraId="75157FE2"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Ces soldes commerciaux indiquent le niveau des exportations et importations, reflétant la compétitivité et la santé économique des deux plus grandes économies du monde. Leurs évolutions sont essentielles pour évaluer le climat des échanges internationaux.</w:t>
      </w:r>
    </w:p>
    <w:p w14:paraId="54D80174" w14:textId="77777777" w:rsidR="00C92965" w:rsidRPr="00011A44" w:rsidRDefault="00C92965" w:rsidP="00011A44">
      <w:pPr>
        <w:jc w:val="both"/>
        <w:rPr>
          <w:rFonts w:ascii="Arial" w:eastAsia="Arial" w:hAnsi="Arial" w:cs="Arial"/>
          <w:color w:val="0E101A"/>
        </w:rPr>
      </w:pPr>
    </w:p>
    <w:p w14:paraId="7DBC9ED2" w14:textId="77777777" w:rsidR="00C92965" w:rsidRPr="00011A44" w:rsidRDefault="00000000" w:rsidP="00011A44">
      <w:pPr>
        <w:numPr>
          <w:ilvl w:val="0"/>
          <w:numId w:val="7"/>
        </w:numPr>
        <w:jc w:val="both"/>
        <w:rPr>
          <w:rFonts w:ascii="Arial" w:eastAsia="Arial" w:hAnsi="Arial" w:cs="Arial"/>
          <w:color w:val="0E101A"/>
        </w:rPr>
      </w:pPr>
      <w:r w:rsidRPr="00011A44">
        <w:rPr>
          <w:rFonts w:ascii="Arial" w:eastAsia="Arial" w:hAnsi="Arial" w:cs="Arial"/>
          <w:color w:val="0E101A"/>
          <w:u w:val="single"/>
        </w:rPr>
        <w:t xml:space="preserve">IFO Business </w:t>
      </w:r>
      <w:proofErr w:type="spellStart"/>
      <w:r w:rsidRPr="00011A44">
        <w:rPr>
          <w:rFonts w:ascii="Arial" w:eastAsia="Arial" w:hAnsi="Arial" w:cs="Arial"/>
          <w:color w:val="0E101A"/>
          <w:u w:val="single"/>
        </w:rPr>
        <w:t>Climate</w:t>
      </w:r>
      <w:proofErr w:type="spellEnd"/>
      <w:r w:rsidRPr="00011A44">
        <w:rPr>
          <w:rFonts w:ascii="Arial" w:eastAsia="Arial" w:hAnsi="Arial" w:cs="Arial"/>
          <w:color w:val="0E101A"/>
          <w:u w:val="single"/>
        </w:rPr>
        <w:t xml:space="preserve"> Index</w:t>
      </w:r>
      <w:r w:rsidRPr="00011A44">
        <w:rPr>
          <w:rFonts w:ascii="Arial" w:eastAsia="Arial" w:hAnsi="Arial" w:cs="Arial"/>
          <w:color w:val="0E101A"/>
        </w:rPr>
        <w:t xml:space="preserve"> (Allemagne) &amp; </w:t>
      </w:r>
      <w:proofErr w:type="spellStart"/>
      <w:r w:rsidRPr="00011A44">
        <w:rPr>
          <w:rFonts w:ascii="Arial" w:eastAsia="Arial" w:hAnsi="Arial" w:cs="Arial"/>
          <w:color w:val="0E101A"/>
          <w:u w:val="single"/>
        </w:rPr>
        <w:t>University</w:t>
      </w:r>
      <w:proofErr w:type="spellEnd"/>
      <w:r w:rsidRPr="00011A44">
        <w:rPr>
          <w:rFonts w:ascii="Arial" w:eastAsia="Arial" w:hAnsi="Arial" w:cs="Arial"/>
          <w:color w:val="0E101A"/>
          <w:u w:val="single"/>
        </w:rPr>
        <w:t xml:space="preserve"> of Michigan Consumer Sentiment Index</w:t>
      </w:r>
      <w:r w:rsidRPr="00011A44">
        <w:rPr>
          <w:rFonts w:ascii="Arial" w:eastAsia="Arial" w:hAnsi="Arial" w:cs="Arial"/>
          <w:color w:val="0E101A"/>
        </w:rPr>
        <w:t xml:space="preserve"> </w:t>
      </w:r>
      <w:r w:rsidRPr="00011A44">
        <w:rPr>
          <w:rFonts w:ascii="Arial" w:eastAsia="Arial" w:hAnsi="Arial" w:cs="Arial"/>
          <w:i/>
          <w:color w:val="0E101A"/>
        </w:rPr>
        <w:t>(Consommateur)</w:t>
      </w:r>
      <w:r w:rsidRPr="00011A44">
        <w:rPr>
          <w:rFonts w:ascii="Arial" w:eastAsia="Arial" w:hAnsi="Arial" w:cs="Arial"/>
          <w:color w:val="0E101A"/>
        </w:rPr>
        <w:t xml:space="preserve"> : </w:t>
      </w:r>
    </w:p>
    <w:p w14:paraId="4825DCC5"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Ces indices mesurent le sentiment des entreprises et des consommateurs, essentiels pour anticiper la consommation et l'investissement, deux moteurs majeurs de la croissance économique.</w:t>
      </w:r>
    </w:p>
    <w:p w14:paraId="6F933C6B" w14:textId="77777777" w:rsidR="00C92965" w:rsidRPr="00011A44" w:rsidRDefault="00C92965" w:rsidP="00011A44">
      <w:pPr>
        <w:jc w:val="both"/>
        <w:rPr>
          <w:rFonts w:ascii="Arial" w:eastAsia="Arial" w:hAnsi="Arial" w:cs="Arial"/>
          <w:color w:val="0E101A"/>
        </w:rPr>
      </w:pPr>
    </w:p>
    <w:p w14:paraId="7E81C051" w14:textId="77777777" w:rsidR="00C92965" w:rsidRPr="00011A44" w:rsidRDefault="00000000" w:rsidP="00011A44">
      <w:pPr>
        <w:jc w:val="both"/>
        <w:rPr>
          <w:rFonts w:ascii="Arial" w:eastAsia="Arial" w:hAnsi="Arial" w:cs="Arial"/>
        </w:rPr>
      </w:pPr>
      <w:r w:rsidRPr="00011A44">
        <w:rPr>
          <w:rFonts w:ascii="Arial" w:eastAsia="Arial" w:hAnsi="Arial" w:cs="Arial"/>
          <w:color w:val="0E101A"/>
        </w:rPr>
        <w:t>Nous avons choisi ces indicateurs pour leur capacité à fournir une analyse équilibrée des piliers économiques clés. Ces indicateurs nous aideront à construire un scénario financier et ainsi déterminer la pertinence des investissements dans différentes classes d'actifs retenues.</w:t>
      </w:r>
    </w:p>
    <w:p w14:paraId="52BBCF8C" w14:textId="77777777" w:rsidR="00C92965" w:rsidRPr="00011A44" w:rsidRDefault="00C92965" w:rsidP="00011A44">
      <w:pPr>
        <w:jc w:val="both"/>
        <w:rPr>
          <w:rFonts w:ascii="Arial" w:eastAsia="Arial" w:hAnsi="Arial" w:cs="Arial"/>
          <w:color w:val="0E101A"/>
          <w:sz w:val="28"/>
          <w:szCs w:val="28"/>
        </w:rPr>
      </w:pPr>
    </w:p>
    <w:p w14:paraId="0A160BE6" w14:textId="77777777" w:rsidR="00C92965" w:rsidRPr="00011A44" w:rsidRDefault="00000000" w:rsidP="00011A44">
      <w:pPr>
        <w:numPr>
          <w:ilvl w:val="0"/>
          <w:numId w:val="6"/>
        </w:numPr>
        <w:pBdr>
          <w:top w:val="nil"/>
          <w:left w:val="nil"/>
          <w:bottom w:val="nil"/>
          <w:right w:val="nil"/>
          <w:between w:val="nil"/>
        </w:pBdr>
        <w:jc w:val="both"/>
        <w:rPr>
          <w:rFonts w:ascii="Arial" w:eastAsia="Arial" w:hAnsi="Arial" w:cs="Arial"/>
          <w:color w:val="0E101A"/>
          <w:sz w:val="26"/>
          <w:szCs w:val="26"/>
        </w:rPr>
      </w:pPr>
      <w:r w:rsidRPr="00011A44">
        <w:rPr>
          <w:rFonts w:ascii="Arial" w:eastAsia="Arial" w:hAnsi="Arial" w:cs="Arial"/>
          <w:color w:val="0E101A"/>
          <w:sz w:val="26"/>
          <w:szCs w:val="26"/>
          <w:u w:val="single"/>
        </w:rPr>
        <w:t>Commentaire sur les indicateurs et prévisions pour 2024</w:t>
      </w:r>
      <w:r w:rsidRPr="00011A44">
        <w:rPr>
          <w:rFonts w:ascii="Arial" w:eastAsia="Arial" w:hAnsi="Arial" w:cs="Arial"/>
          <w:color w:val="0E101A"/>
          <w:sz w:val="26"/>
          <w:szCs w:val="26"/>
        </w:rPr>
        <w:t> :</w:t>
      </w:r>
    </w:p>
    <w:p w14:paraId="0AD32876" w14:textId="77777777" w:rsidR="00C92965" w:rsidRPr="00011A44" w:rsidRDefault="00C92965" w:rsidP="00011A44">
      <w:pPr>
        <w:pBdr>
          <w:top w:val="nil"/>
          <w:left w:val="nil"/>
          <w:bottom w:val="nil"/>
          <w:right w:val="nil"/>
          <w:between w:val="nil"/>
        </w:pBdr>
        <w:jc w:val="both"/>
        <w:rPr>
          <w:rFonts w:ascii="Arial" w:eastAsia="Arial" w:hAnsi="Arial" w:cs="Arial"/>
          <w:color w:val="0E101A"/>
          <w:sz w:val="28"/>
          <w:szCs w:val="28"/>
        </w:rPr>
      </w:pPr>
    </w:p>
    <w:p w14:paraId="61C3E94B" w14:textId="77777777" w:rsidR="00C92965" w:rsidRPr="00011A44" w:rsidRDefault="00000000" w:rsidP="00011A44">
      <w:pPr>
        <w:ind w:firstLine="720"/>
        <w:jc w:val="both"/>
        <w:rPr>
          <w:rFonts w:ascii="Arial" w:eastAsia="Arial" w:hAnsi="Arial" w:cs="Arial"/>
          <w:b/>
          <w:color w:val="0E101A"/>
        </w:rPr>
      </w:pPr>
      <w:r w:rsidRPr="00011A44">
        <w:rPr>
          <w:rFonts w:ascii="Arial" w:eastAsia="Arial" w:hAnsi="Arial" w:cs="Arial"/>
          <w:color w:val="0E101A"/>
        </w:rPr>
        <w:t xml:space="preserve">Notre scénario économique pour 2024 repose sur l'hypothèse d'une hausse relative de l’activité économique, avec les banques centrales continuant à lutter contre l'inflation persistante, sans augmenter davantage les taux d'intérêt. Nous anticipons que les taux resteront élevés pendant une bonne partie de l’année et une baisse dans la seconde moitié. Notre outil quantitatif qui est une modélisation de l’inflation grâce à un MS-AR (état à forte/faible volatilité sur l’inflation) prévoit d’ailleurs une baisse de l’inflation ce qui concorde avec une baisse des taux d’intérêts directeurs (Cf rubrique outil quantitatif). Nous prévoyons donc une </w:t>
      </w:r>
      <w:r w:rsidRPr="00011A44">
        <w:rPr>
          <w:rFonts w:ascii="Arial" w:eastAsia="Arial" w:hAnsi="Arial" w:cs="Arial"/>
          <w:b/>
          <w:color w:val="0E101A"/>
        </w:rPr>
        <w:t>politique monétaire expansionniste.</w:t>
      </w:r>
    </w:p>
    <w:p w14:paraId="33D9C574" w14:textId="77777777" w:rsidR="00C92965" w:rsidRPr="00011A44" w:rsidRDefault="00C92965" w:rsidP="00011A44">
      <w:pPr>
        <w:jc w:val="both"/>
        <w:rPr>
          <w:rFonts w:ascii="Arial" w:eastAsia="Arial" w:hAnsi="Arial" w:cs="Arial"/>
          <w:color w:val="0E101A"/>
        </w:rPr>
      </w:pPr>
    </w:p>
    <w:p w14:paraId="4478B980"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Post-Covid, les secteurs économiques ont retrouvé leur rythme normal, il ne devrait plus avoir de grande surprise sur le </w:t>
      </w:r>
      <w:r w:rsidRPr="00011A44">
        <w:rPr>
          <w:rFonts w:ascii="Arial" w:eastAsia="Arial" w:hAnsi="Arial" w:cs="Arial"/>
          <w:b/>
          <w:color w:val="0E101A"/>
        </w:rPr>
        <w:t>marché de l’emploi qui devrait rester stable</w:t>
      </w:r>
      <w:r w:rsidRPr="00011A44">
        <w:rPr>
          <w:rFonts w:ascii="Arial" w:eastAsia="Arial" w:hAnsi="Arial" w:cs="Arial"/>
          <w:color w:val="0E101A"/>
        </w:rPr>
        <w:t xml:space="preserve"> mais des chiffres un peu trop bons peuvent inciter les banquiers centraux à garder des taux élevés plus longtemps ce qui pourraient entraîner des </w:t>
      </w:r>
      <w:r w:rsidRPr="00011A44">
        <w:rPr>
          <w:rFonts w:ascii="Arial" w:eastAsia="Arial" w:hAnsi="Arial" w:cs="Arial"/>
          <w:b/>
          <w:color w:val="0E101A"/>
        </w:rPr>
        <w:t>politiques budgétaires plus restrictives</w:t>
      </w:r>
      <w:r w:rsidRPr="00011A44">
        <w:rPr>
          <w:rFonts w:ascii="Arial" w:eastAsia="Arial" w:hAnsi="Arial" w:cs="Arial"/>
          <w:color w:val="0E101A"/>
        </w:rPr>
        <w:t xml:space="preserve">. En effet, le coût de </w:t>
      </w:r>
      <w:r w:rsidRPr="00011A44">
        <w:rPr>
          <w:rFonts w:ascii="Arial" w:eastAsia="Arial" w:hAnsi="Arial" w:cs="Arial"/>
          <w:color w:val="0E101A"/>
        </w:rPr>
        <w:lastRenderedPageBreak/>
        <w:t>refinancement de la dette augmente et donc décourage les États et institutions à mener des projets coûteux.</w:t>
      </w:r>
    </w:p>
    <w:p w14:paraId="66712C7A" w14:textId="77777777" w:rsidR="00C92965" w:rsidRPr="00011A44" w:rsidRDefault="00C92965" w:rsidP="00011A44">
      <w:pPr>
        <w:jc w:val="both"/>
        <w:rPr>
          <w:rFonts w:ascii="Arial" w:eastAsia="Arial" w:hAnsi="Arial" w:cs="Arial"/>
          <w:color w:val="0E101A"/>
        </w:rPr>
      </w:pPr>
    </w:p>
    <w:p w14:paraId="1EC44161" w14:textId="77777777" w:rsidR="00C92965" w:rsidRPr="00011A44" w:rsidRDefault="00000000" w:rsidP="00011A44">
      <w:pPr>
        <w:jc w:val="both"/>
        <w:rPr>
          <w:rFonts w:ascii="Arial" w:eastAsia="Arial" w:hAnsi="Arial" w:cs="Arial"/>
          <w:b/>
          <w:color w:val="0E101A"/>
        </w:rPr>
      </w:pPr>
      <w:r w:rsidRPr="00011A44">
        <w:rPr>
          <w:rFonts w:ascii="Arial" w:eastAsia="Arial" w:hAnsi="Arial" w:cs="Arial"/>
          <w:color w:val="0E101A"/>
        </w:rPr>
        <w:t xml:space="preserve">Concernant </w:t>
      </w:r>
      <w:r w:rsidRPr="00011A44">
        <w:rPr>
          <w:rFonts w:ascii="Arial" w:eastAsia="Arial" w:hAnsi="Arial" w:cs="Arial"/>
          <w:b/>
          <w:color w:val="0E101A"/>
        </w:rPr>
        <w:t>le commerce international, nous prévoyons une stabilité sans changements majeurs</w:t>
      </w:r>
      <w:r w:rsidRPr="00011A44">
        <w:rPr>
          <w:rFonts w:ascii="Arial" w:eastAsia="Arial" w:hAnsi="Arial" w:cs="Arial"/>
          <w:color w:val="0E101A"/>
        </w:rPr>
        <w:t xml:space="preserve"> (Hors événement exceptionnel imprévus : guerre, pandémie, guerre commerciale).</w:t>
      </w:r>
      <w:r w:rsidRPr="00011A44">
        <w:rPr>
          <w:rFonts w:ascii="Arial" w:eastAsia="Arial" w:hAnsi="Arial" w:cs="Arial"/>
          <w:b/>
          <w:color w:val="0E101A"/>
        </w:rPr>
        <w:t xml:space="preserve"> </w:t>
      </w:r>
      <w:r w:rsidRPr="00011A44">
        <w:rPr>
          <w:rFonts w:ascii="Arial" w:eastAsia="Arial" w:hAnsi="Arial" w:cs="Arial"/>
          <w:color w:val="0E101A"/>
        </w:rPr>
        <w:t>Cette intuition s’illustre notamment à travers la stabilité des balances commerciales (Cf Graphique 3) qui sont davantage expliquées par des facteurs structurels que liée à la conjoncture économique.</w:t>
      </w:r>
    </w:p>
    <w:p w14:paraId="6A0CDFC8" w14:textId="77777777" w:rsidR="00C92965" w:rsidRPr="00011A44" w:rsidRDefault="00C92965" w:rsidP="00011A44">
      <w:pPr>
        <w:jc w:val="both"/>
        <w:rPr>
          <w:rFonts w:ascii="Arial" w:eastAsia="Arial" w:hAnsi="Arial" w:cs="Arial"/>
          <w:b/>
          <w:color w:val="0E101A"/>
        </w:rPr>
      </w:pPr>
    </w:p>
    <w:p w14:paraId="0AF1E8AE"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L'analyse du graphique PMI manufacturier montre une tendance générale à la baisse tant pour la France que pour les États-Unis (Cf Annexe 1), indiquant un ralentissement de l'activité industrielle dans ces économies. Cette diminution peut être attribuée à la hausse des coûts des matières premières, notamment le pétrole et l'électricité, qui ont exercé une pression sur l'offre. </w:t>
      </w:r>
    </w:p>
    <w:p w14:paraId="7D7819B3" w14:textId="77777777" w:rsidR="00C92965" w:rsidRPr="00011A44" w:rsidRDefault="00C92965" w:rsidP="00011A44">
      <w:pPr>
        <w:jc w:val="both"/>
        <w:rPr>
          <w:rFonts w:ascii="Arial" w:eastAsia="Arial" w:hAnsi="Arial" w:cs="Arial"/>
          <w:color w:val="0E101A"/>
        </w:rPr>
      </w:pPr>
    </w:p>
    <w:p w14:paraId="037ED49A"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De plus, l'inflation généralisée a probablement eu un impact sur la demande en réduisant le pouvoir d'achat des consommateurs, ce qui a pu à son tour affecter négativement la production des entreprises. Il est également plausible que les entreprises aient rencontré des défis à maintenir leurs marges dans un contexte de coûts croissants voire que certaines ce soit trouver en état de défaut.</w:t>
      </w:r>
    </w:p>
    <w:p w14:paraId="33AED311" w14:textId="77777777" w:rsidR="00C92965" w:rsidRPr="00011A44" w:rsidRDefault="00C92965" w:rsidP="00011A44">
      <w:pPr>
        <w:jc w:val="both"/>
        <w:rPr>
          <w:rFonts w:ascii="Arial" w:eastAsia="Arial" w:hAnsi="Arial" w:cs="Arial"/>
          <w:color w:val="0E101A"/>
        </w:rPr>
      </w:pPr>
    </w:p>
    <w:p w14:paraId="54E3F2B7"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Cependant, la baisse du prix des matières premières va probablement contribuer à une relance du secteur industriel mondial. Par ailleurs, une politique monétaire expansionniste contribue au développement des entreprises par le canal du crédit, néanmoins une politique budgétaire restrictive peut cependant peser sur cette industrie à long terme. </w:t>
      </w:r>
      <w:r w:rsidRPr="00011A44">
        <w:rPr>
          <w:rFonts w:ascii="Arial" w:eastAsia="Arial" w:hAnsi="Arial" w:cs="Arial"/>
          <w:b/>
          <w:color w:val="0E101A"/>
        </w:rPr>
        <w:t>Notre prévision concernant le pilier entreprise reste donc incertaine</w:t>
      </w:r>
      <w:r w:rsidRPr="00011A44">
        <w:rPr>
          <w:rFonts w:ascii="Arial" w:eastAsia="Arial" w:hAnsi="Arial" w:cs="Arial"/>
          <w:color w:val="0E101A"/>
        </w:rPr>
        <w:t> : une prise de position neutre est donc de mise.</w:t>
      </w:r>
    </w:p>
    <w:p w14:paraId="47E33185" w14:textId="77777777" w:rsidR="00C92965" w:rsidRPr="00011A44" w:rsidRDefault="00C92965" w:rsidP="00011A44">
      <w:pPr>
        <w:jc w:val="both"/>
        <w:rPr>
          <w:rFonts w:ascii="Arial" w:eastAsia="Arial" w:hAnsi="Arial" w:cs="Arial"/>
          <w:color w:val="0E101A"/>
        </w:rPr>
      </w:pPr>
    </w:p>
    <w:p w14:paraId="71EF8964"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On observe une baisse notable du sentiment des consommateurs américains et du climat des affaires allemand depuis 2021 (Cf annexe 2), ce qui pourrait indiquer une prudence due à l'inflation et à l'augmentation des coûts de la vie. Cependant, récemment, le sentiment semble s'être stabilisé, suggérant une adaptation des consommateurs à la nouvelle normalité économique. Cette résilience peut être vue comme un </w:t>
      </w:r>
      <w:r w:rsidRPr="00011A44">
        <w:rPr>
          <w:rFonts w:ascii="Arial" w:eastAsia="Arial" w:hAnsi="Arial" w:cs="Arial"/>
          <w:b/>
          <w:color w:val="0E101A"/>
        </w:rPr>
        <w:t>signe avant-coureur d'une reprise de la consommation</w:t>
      </w:r>
      <w:r w:rsidRPr="00011A44">
        <w:rPr>
          <w:rFonts w:ascii="Arial" w:eastAsia="Arial" w:hAnsi="Arial" w:cs="Arial"/>
          <w:color w:val="0E101A"/>
        </w:rPr>
        <w:t xml:space="preserve"> malgré les conditions économiques défavorables.</w:t>
      </w:r>
    </w:p>
    <w:p w14:paraId="0D76A583" w14:textId="77777777" w:rsidR="00C92965" w:rsidRPr="00011A44" w:rsidRDefault="00C92965" w:rsidP="00011A44">
      <w:pPr>
        <w:jc w:val="both"/>
        <w:rPr>
          <w:rFonts w:ascii="Arial" w:eastAsia="Arial" w:hAnsi="Arial" w:cs="Arial"/>
          <w:color w:val="0E101A"/>
        </w:rPr>
      </w:pPr>
    </w:p>
    <w:p w14:paraId="1BB84086" w14:textId="77777777" w:rsidR="00C92965" w:rsidRPr="00011A44" w:rsidRDefault="00000000" w:rsidP="00011A44">
      <w:pPr>
        <w:jc w:val="both"/>
        <w:rPr>
          <w:rFonts w:ascii="Arial" w:eastAsia="Arial" w:hAnsi="Arial" w:cs="Arial"/>
          <w:b/>
          <w:color w:val="0E101A"/>
        </w:rPr>
      </w:pPr>
      <w:r w:rsidRPr="00011A44">
        <w:rPr>
          <w:rFonts w:ascii="Arial" w:eastAsia="Arial" w:hAnsi="Arial" w:cs="Arial"/>
          <w:color w:val="0E101A"/>
        </w:rPr>
        <w:t xml:space="preserve">En 2024, nous anticipons une reprise de la consommation, malgré une baisse initiale due à la surprise des consommateurs face à l'inflation rapide et élevée. Cette baisse a provoqué une réaction d'ajustement, où les consommateurs, confrontés à la réalité d'une inflation persistante, ont progressivement adapté leurs comportements de dépense. Les ajustements salariaux en réponse à l'inflation prolongée devraient soutenir </w:t>
      </w:r>
      <w:r w:rsidRPr="00011A44">
        <w:rPr>
          <w:rFonts w:ascii="Arial" w:eastAsia="Arial" w:hAnsi="Arial" w:cs="Arial"/>
          <w:b/>
          <w:color w:val="0E101A"/>
        </w:rPr>
        <w:t>une reprise de la consommation, contribuant à une dynamique économique plus favorable.</w:t>
      </w:r>
    </w:p>
    <w:p w14:paraId="0690156C" w14:textId="77777777" w:rsidR="00C92965" w:rsidRPr="00011A44" w:rsidRDefault="00C92965" w:rsidP="00011A44">
      <w:pPr>
        <w:jc w:val="both"/>
        <w:rPr>
          <w:rFonts w:ascii="Arial" w:eastAsia="Arial" w:hAnsi="Arial" w:cs="Arial"/>
          <w:color w:val="0E101A"/>
        </w:rPr>
      </w:pPr>
    </w:p>
    <w:p w14:paraId="60928150" w14:textId="77777777" w:rsidR="00C92965" w:rsidRPr="00011A44" w:rsidRDefault="00000000" w:rsidP="00011A44">
      <w:pPr>
        <w:jc w:val="both"/>
        <w:rPr>
          <w:rFonts w:ascii="Arial" w:eastAsia="Arial" w:hAnsi="Arial" w:cs="Arial"/>
          <w:b/>
          <w:color w:val="0E101A"/>
        </w:rPr>
      </w:pPr>
      <w:r w:rsidRPr="00011A44">
        <w:rPr>
          <w:rFonts w:ascii="Arial" w:eastAsia="Arial" w:hAnsi="Arial" w:cs="Arial"/>
          <w:color w:val="0E101A"/>
        </w:rPr>
        <w:t xml:space="preserve">Compte tenu des différents éléments de notre scénario et des dernières valeurs des indicateurs, nous estimons que nous étions dans un état fragile de l’économie, proche de la récession du moins en dessous de la croissance potentielle, ce qui nous laisse penser que nous sommes actuellement dans un </w:t>
      </w:r>
      <w:r w:rsidRPr="00011A44">
        <w:rPr>
          <w:rFonts w:ascii="Arial" w:eastAsia="Arial" w:hAnsi="Arial" w:cs="Arial"/>
          <w:b/>
          <w:color w:val="0E101A"/>
        </w:rPr>
        <w:t>scénario de reprise.</w:t>
      </w:r>
    </w:p>
    <w:p w14:paraId="6F77B2ED" w14:textId="77777777" w:rsidR="00C92965" w:rsidRPr="00011A44" w:rsidRDefault="00C92965" w:rsidP="00011A44">
      <w:pPr>
        <w:jc w:val="both"/>
        <w:rPr>
          <w:rFonts w:ascii="Arial" w:eastAsia="Arial" w:hAnsi="Arial" w:cs="Arial"/>
          <w:b/>
          <w:color w:val="0E101A"/>
        </w:rPr>
      </w:pPr>
    </w:p>
    <w:p w14:paraId="5E181845" w14:textId="77777777" w:rsidR="00C92965" w:rsidRPr="00011A44" w:rsidRDefault="00C92965" w:rsidP="00011A44">
      <w:pPr>
        <w:jc w:val="both"/>
        <w:rPr>
          <w:rFonts w:ascii="Arial" w:eastAsia="Arial" w:hAnsi="Arial" w:cs="Arial"/>
          <w:b/>
          <w:color w:val="0E101A"/>
        </w:rPr>
      </w:pPr>
    </w:p>
    <w:p w14:paraId="5D67F7BD" w14:textId="77777777" w:rsidR="00C92965" w:rsidRPr="00011A44" w:rsidRDefault="00C92965" w:rsidP="00011A44">
      <w:pPr>
        <w:jc w:val="both"/>
        <w:rPr>
          <w:rFonts w:ascii="Arial" w:eastAsia="Arial" w:hAnsi="Arial" w:cs="Arial"/>
          <w:b/>
          <w:color w:val="0E101A"/>
        </w:rPr>
      </w:pPr>
    </w:p>
    <w:p w14:paraId="78980458" w14:textId="77777777" w:rsidR="00C92965" w:rsidRPr="00011A44" w:rsidRDefault="00C92965" w:rsidP="00011A44">
      <w:pPr>
        <w:jc w:val="both"/>
        <w:rPr>
          <w:rFonts w:ascii="Arial" w:eastAsia="Arial" w:hAnsi="Arial" w:cs="Arial"/>
          <w:b/>
          <w:color w:val="0E101A"/>
        </w:rPr>
      </w:pPr>
    </w:p>
    <w:p w14:paraId="7AEB9961" w14:textId="77777777" w:rsidR="00C92965" w:rsidRPr="00011A44" w:rsidRDefault="00C92965" w:rsidP="00011A44">
      <w:pPr>
        <w:jc w:val="both"/>
        <w:rPr>
          <w:rFonts w:ascii="Arial" w:eastAsia="Arial" w:hAnsi="Arial" w:cs="Arial"/>
          <w:b/>
          <w:color w:val="0E101A"/>
        </w:rPr>
      </w:pPr>
    </w:p>
    <w:p w14:paraId="65443DB9" w14:textId="77777777" w:rsidR="00001A58" w:rsidRPr="00011A44" w:rsidRDefault="00001A58" w:rsidP="00011A44">
      <w:pPr>
        <w:jc w:val="both"/>
        <w:rPr>
          <w:rFonts w:ascii="Arial" w:eastAsia="Arial" w:hAnsi="Arial" w:cs="Arial"/>
          <w:b/>
          <w:color w:val="0E101A"/>
        </w:rPr>
      </w:pPr>
    </w:p>
    <w:p w14:paraId="65746771" w14:textId="77777777" w:rsidR="00001A58" w:rsidRPr="00011A44" w:rsidRDefault="00001A58" w:rsidP="00011A44">
      <w:pPr>
        <w:jc w:val="both"/>
        <w:rPr>
          <w:rFonts w:ascii="Arial" w:eastAsia="Arial" w:hAnsi="Arial" w:cs="Arial"/>
          <w:b/>
          <w:color w:val="0E101A"/>
        </w:rPr>
      </w:pPr>
    </w:p>
    <w:p w14:paraId="56F48BE4" w14:textId="77777777" w:rsidR="00001A58" w:rsidRPr="00011A44" w:rsidRDefault="00001A58" w:rsidP="00011A44">
      <w:pPr>
        <w:jc w:val="both"/>
        <w:rPr>
          <w:rFonts w:ascii="Arial" w:eastAsia="Arial" w:hAnsi="Arial" w:cs="Arial"/>
          <w:b/>
          <w:color w:val="0E101A"/>
        </w:rPr>
      </w:pPr>
    </w:p>
    <w:p w14:paraId="7A48163D" w14:textId="77777777" w:rsidR="00001A58" w:rsidRPr="00011A44" w:rsidRDefault="00001A58" w:rsidP="00011A44">
      <w:pPr>
        <w:jc w:val="both"/>
        <w:rPr>
          <w:rFonts w:ascii="Arial" w:eastAsia="Arial" w:hAnsi="Arial" w:cs="Arial"/>
          <w:b/>
          <w:color w:val="0E101A"/>
        </w:rPr>
      </w:pPr>
    </w:p>
    <w:p w14:paraId="3B68105B" w14:textId="77777777" w:rsidR="00C92965" w:rsidRPr="00011A44" w:rsidRDefault="00C92965" w:rsidP="00011A44">
      <w:pPr>
        <w:jc w:val="both"/>
        <w:rPr>
          <w:rFonts w:ascii="Arial" w:eastAsia="Arial" w:hAnsi="Arial" w:cs="Arial"/>
          <w:b/>
          <w:color w:val="0E101A"/>
        </w:rPr>
      </w:pPr>
    </w:p>
    <w:p w14:paraId="22483F1D" w14:textId="77777777" w:rsidR="00C92965" w:rsidRPr="00011A44" w:rsidRDefault="00C92965" w:rsidP="00011A44">
      <w:pPr>
        <w:jc w:val="both"/>
        <w:rPr>
          <w:rFonts w:ascii="Arial" w:eastAsia="Arial" w:hAnsi="Arial" w:cs="Arial"/>
          <w:color w:val="0E101A"/>
          <w:sz w:val="28"/>
          <w:szCs w:val="28"/>
        </w:rPr>
      </w:pPr>
    </w:p>
    <w:p w14:paraId="48A9FD06" w14:textId="77777777" w:rsidR="00C92965" w:rsidRPr="00011A44" w:rsidRDefault="00000000" w:rsidP="00011A44">
      <w:pPr>
        <w:numPr>
          <w:ilvl w:val="0"/>
          <w:numId w:val="8"/>
        </w:numPr>
        <w:pBdr>
          <w:top w:val="nil"/>
          <w:left w:val="nil"/>
          <w:bottom w:val="nil"/>
          <w:right w:val="nil"/>
          <w:between w:val="nil"/>
        </w:pBdr>
        <w:jc w:val="both"/>
        <w:rPr>
          <w:rFonts w:ascii="Arial" w:eastAsia="Arial" w:hAnsi="Arial" w:cs="Arial"/>
          <w:b/>
          <w:color w:val="0E101A"/>
          <w:sz w:val="28"/>
          <w:szCs w:val="28"/>
        </w:rPr>
      </w:pPr>
      <w:r w:rsidRPr="00011A44">
        <w:rPr>
          <w:rFonts w:ascii="Arial" w:eastAsia="Arial" w:hAnsi="Arial" w:cs="Arial"/>
          <w:b/>
          <w:color w:val="0E101A"/>
          <w:sz w:val="28"/>
          <w:szCs w:val="28"/>
          <w:u w:val="single"/>
        </w:rPr>
        <w:lastRenderedPageBreak/>
        <w:t>Scénario financier</w:t>
      </w:r>
      <w:r w:rsidRPr="00011A44">
        <w:rPr>
          <w:rFonts w:ascii="Arial" w:eastAsia="Arial" w:hAnsi="Arial" w:cs="Arial"/>
          <w:b/>
          <w:color w:val="0E101A"/>
          <w:sz w:val="28"/>
          <w:szCs w:val="28"/>
        </w:rPr>
        <w:t xml:space="preserve"> : </w:t>
      </w:r>
    </w:p>
    <w:p w14:paraId="3C5C9F94" w14:textId="77777777" w:rsidR="00C92965" w:rsidRPr="00011A44" w:rsidRDefault="00C92965" w:rsidP="00011A44">
      <w:pPr>
        <w:jc w:val="both"/>
        <w:rPr>
          <w:rFonts w:ascii="Arial" w:eastAsia="Arial" w:hAnsi="Arial" w:cs="Arial"/>
          <w:color w:val="0E101A"/>
          <w:sz w:val="28"/>
          <w:szCs w:val="28"/>
        </w:rPr>
      </w:pPr>
    </w:p>
    <w:p w14:paraId="4862C6C8" w14:textId="77777777" w:rsidR="00C92965" w:rsidRPr="00011A44" w:rsidRDefault="00C92965" w:rsidP="00011A44">
      <w:pPr>
        <w:jc w:val="both"/>
        <w:rPr>
          <w:rFonts w:ascii="Arial" w:eastAsia="Arial" w:hAnsi="Arial" w:cs="Arial"/>
          <w:color w:val="0E101A"/>
          <w:sz w:val="28"/>
          <w:szCs w:val="28"/>
        </w:rPr>
      </w:pPr>
    </w:p>
    <w:p w14:paraId="1070D494" w14:textId="77777777" w:rsidR="00C92965" w:rsidRPr="00011A44" w:rsidRDefault="00000000" w:rsidP="00011A44">
      <w:pPr>
        <w:ind w:firstLine="720"/>
        <w:jc w:val="both"/>
        <w:rPr>
          <w:rFonts w:ascii="Arial" w:eastAsia="Arial" w:hAnsi="Arial" w:cs="Arial"/>
          <w:color w:val="0E101A"/>
        </w:rPr>
      </w:pPr>
      <w:r w:rsidRPr="00011A44">
        <w:rPr>
          <w:rFonts w:ascii="Arial" w:eastAsia="Arial" w:hAnsi="Arial" w:cs="Arial"/>
          <w:color w:val="0E101A"/>
        </w:rPr>
        <w:t xml:space="preserve">Pour évaluer l’impact de nos projections pour 2024 sur les marchés financiers, nous avons décidé de diviser cette analyse en deux parties : </w:t>
      </w:r>
    </w:p>
    <w:p w14:paraId="5397F726"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La première partie se concentre sur l’influence de notre scénario économique sur le marché obligataire puis nous étudierons ses impacts sur le marché action.</w:t>
      </w:r>
    </w:p>
    <w:p w14:paraId="07F14E4A" w14:textId="77777777" w:rsidR="00C92965" w:rsidRPr="00011A44" w:rsidRDefault="00C92965" w:rsidP="00011A44">
      <w:pPr>
        <w:jc w:val="both"/>
        <w:rPr>
          <w:rFonts w:ascii="Arial" w:eastAsia="Arial" w:hAnsi="Arial" w:cs="Arial"/>
          <w:color w:val="0E101A"/>
        </w:rPr>
      </w:pPr>
    </w:p>
    <w:p w14:paraId="4F552C6C" w14:textId="77777777" w:rsidR="00C92965" w:rsidRPr="00D20D53" w:rsidRDefault="00000000" w:rsidP="00011A44">
      <w:pPr>
        <w:numPr>
          <w:ilvl w:val="0"/>
          <w:numId w:val="5"/>
        </w:numPr>
        <w:pBdr>
          <w:top w:val="nil"/>
          <w:left w:val="nil"/>
          <w:bottom w:val="nil"/>
          <w:right w:val="nil"/>
          <w:between w:val="nil"/>
        </w:pBdr>
        <w:jc w:val="both"/>
        <w:rPr>
          <w:rFonts w:ascii="Arial" w:eastAsia="Arial" w:hAnsi="Arial" w:cs="Arial"/>
          <w:color w:val="0E101A"/>
          <w:sz w:val="26"/>
          <w:szCs w:val="26"/>
        </w:rPr>
      </w:pPr>
      <w:r w:rsidRPr="00D20D53">
        <w:rPr>
          <w:rFonts w:ascii="Arial" w:eastAsia="Arial" w:hAnsi="Arial" w:cs="Arial"/>
          <w:color w:val="0E101A"/>
          <w:sz w:val="26"/>
          <w:szCs w:val="26"/>
          <w:u w:val="single"/>
        </w:rPr>
        <w:t>Marché obligataire</w:t>
      </w:r>
      <w:r w:rsidRPr="00D20D53">
        <w:rPr>
          <w:rFonts w:ascii="Arial" w:eastAsia="Arial" w:hAnsi="Arial" w:cs="Arial"/>
          <w:color w:val="0E101A"/>
          <w:sz w:val="26"/>
          <w:szCs w:val="26"/>
        </w:rPr>
        <w:t> :</w:t>
      </w:r>
    </w:p>
    <w:p w14:paraId="11960647" w14:textId="77777777" w:rsidR="00C92965" w:rsidRPr="00011A44" w:rsidRDefault="00C92965" w:rsidP="00011A44">
      <w:pPr>
        <w:jc w:val="both"/>
        <w:rPr>
          <w:rFonts w:ascii="Arial" w:eastAsia="Arial" w:hAnsi="Arial" w:cs="Arial"/>
          <w:color w:val="0E101A"/>
        </w:rPr>
      </w:pPr>
    </w:p>
    <w:p w14:paraId="437B7981"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Considérons la décomposition de structure par terme des taux suivantes :</w:t>
      </w:r>
    </w:p>
    <w:p w14:paraId="72F12E0A" w14:textId="77777777" w:rsidR="00C92965" w:rsidRPr="00011A44" w:rsidRDefault="00C92965" w:rsidP="00011A44">
      <w:pPr>
        <w:jc w:val="both"/>
        <w:rPr>
          <w:rFonts w:ascii="Arial" w:eastAsia="Arial" w:hAnsi="Arial" w:cs="Arial"/>
          <w:color w:val="0E101A"/>
          <w:sz w:val="28"/>
          <w:szCs w:val="28"/>
        </w:rPr>
      </w:pPr>
    </w:p>
    <w:p w14:paraId="29803038" w14:textId="77777777" w:rsidR="00C92965" w:rsidRPr="00011A44" w:rsidRDefault="00000000" w:rsidP="00011A44">
      <w:pPr>
        <w:jc w:val="center"/>
        <w:rPr>
          <w:rFonts w:ascii="Arial" w:eastAsia="Arial" w:hAnsi="Arial" w:cs="Arial"/>
          <w:color w:val="0E101A"/>
        </w:rPr>
      </w:pPr>
      <m:oMath>
        <m:sSub>
          <m:sSubPr>
            <m:ctrlPr>
              <w:rPr>
                <w:rFonts w:ascii="Cambria Math" w:eastAsia="Cambria Math" w:hAnsi="Cambria Math" w:cs="Arial"/>
                <w:color w:val="0E101A"/>
              </w:rPr>
            </m:ctrlPr>
          </m:sSubPr>
          <m:e>
            <m:r>
              <w:rPr>
                <w:rFonts w:ascii="Cambria Math" w:eastAsia="Cambria Math" w:hAnsi="Cambria Math" w:cs="Arial"/>
                <w:color w:val="0E101A"/>
              </w:rPr>
              <m:t>Taux</m:t>
            </m:r>
          </m:e>
          <m:sub>
            <m:r>
              <w:rPr>
                <w:rFonts w:ascii="Cambria Math" w:eastAsia="Cambria Math" w:hAnsi="Cambria Math" w:cs="Arial"/>
                <w:color w:val="0E101A"/>
              </w:rPr>
              <m:t>Obligation</m:t>
            </m:r>
          </m:sub>
        </m:sSub>
      </m:oMath>
      <w:r w:rsidRPr="00011A44">
        <w:rPr>
          <w:rFonts w:ascii="Arial" w:eastAsia="Arial" w:hAnsi="Arial" w:cs="Arial"/>
          <w:color w:val="0E101A"/>
        </w:rPr>
        <w:t xml:space="preserve">= </w:t>
      </w:r>
      <m:oMath>
        <m:sSub>
          <m:sSubPr>
            <m:ctrlPr>
              <w:rPr>
                <w:rFonts w:ascii="Cambria Math" w:eastAsia="Cambria Math" w:hAnsi="Cambria Math" w:cs="Arial"/>
                <w:color w:val="0E101A"/>
              </w:rPr>
            </m:ctrlPr>
          </m:sSubPr>
          <m:e>
            <m:r>
              <w:rPr>
                <w:rFonts w:ascii="Cambria Math" w:eastAsia="Cambria Math" w:hAnsi="Cambria Math" w:cs="Arial"/>
                <w:color w:val="0E101A"/>
              </w:rPr>
              <m:t>Anticipation</m:t>
            </m:r>
          </m:e>
          <m:sub>
            <m:r>
              <w:rPr>
                <w:rFonts w:ascii="Cambria Math" w:eastAsia="Cambria Math" w:hAnsi="Cambria Math" w:cs="Arial"/>
                <w:color w:val="0E101A"/>
              </w:rPr>
              <m:t>Taux</m:t>
            </m:r>
          </m:sub>
        </m:sSub>
      </m:oMath>
      <w:r w:rsidRPr="00011A44">
        <w:rPr>
          <w:rFonts w:ascii="Arial" w:eastAsia="Arial" w:hAnsi="Arial" w:cs="Arial"/>
          <w:color w:val="0E101A"/>
        </w:rPr>
        <w:t xml:space="preserve"> + </w:t>
      </w:r>
      <m:oMath>
        <m:sSub>
          <m:sSubPr>
            <m:ctrlPr>
              <w:rPr>
                <w:rFonts w:ascii="Cambria Math" w:eastAsia="Cambria Math" w:hAnsi="Cambria Math" w:cs="Arial"/>
                <w:color w:val="0E101A"/>
              </w:rPr>
            </m:ctrlPr>
          </m:sSubPr>
          <m:e>
            <m:r>
              <w:rPr>
                <w:rFonts w:ascii="Cambria Math" w:eastAsia="Cambria Math" w:hAnsi="Cambria Math" w:cs="Arial"/>
                <w:color w:val="0E101A"/>
              </w:rPr>
              <m:t>Prime</m:t>
            </m:r>
          </m:e>
          <m:sub>
            <m:r>
              <w:rPr>
                <w:rFonts w:ascii="Cambria Math" w:eastAsia="Cambria Math" w:hAnsi="Cambria Math" w:cs="Arial"/>
                <w:color w:val="0E101A"/>
              </w:rPr>
              <m:t>Terme</m:t>
            </m:r>
          </m:sub>
        </m:sSub>
      </m:oMath>
    </w:p>
    <w:p w14:paraId="35C68E1D" w14:textId="77777777" w:rsidR="00C92965" w:rsidRPr="00011A44" w:rsidRDefault="00C92965" w:rsidP="00011A44">
      <w:pPr>
        <w:jc w:val="both"/>
        <w:rPr>
          <w:rFonts w:ascii="Arial" w:eastAsia="Arial" w:hAnsi="Arial" w:cs="Arial"/>
          <w:color w:val="0E101A"/>
          <w:sz w:val="28"/>
          <w:szCs w:val="28"/>
        </w:rPr>
      </w:pPr>
    </w:p>
    <w:p w14:paraId="1D46CA1A"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La première composante représente la partie courte de la courbe des taux tandis que la seconde représente la partie long terme de la courbe. Chaque sous-composante peut également être décomposé de la manière suivante :</w:t>
      </w:r>
    </w:p>
    <w:p w14:paraId="3FC3F993" w14:textId="77777777" w:rsidR="00C92965" w:rsidRPr="00011A44" w:rsidRDefault="00C92965" w:rsidP="00011A44">
      <w:pPr>
        <w:jc w:val="both"/>
        <w:rPr>
          <w:rFonts w:ascii="Arial" w:eastAsia="Arial" w:hAnsi="Arial" w:cs="Arial"/>
          <w:color w:val="0E101A"/>
        </w:rPr>
      </w:pPr>
    </w:p>
    <w:p w14:paraId="5C4A43BC" w14:textId="77777777" w:rsidR="00C92965" w:rsidRPr="00011A44" w:rsidRDefault="00000000" w:rsidP="00011A44">
      <w:pPr>
        <w:jc w:val="center"/>
        <w:rPr>
          <w:rFonts w:ascii="Arial" w:eastAsia="Arial" w:hAnsi="Arial" w:cs="Arial"/>
          <w:color w:val="0E101A"/>
        </w:rPr>
      </w:pPr>
      <m:oMath>
        <m:sSub>
          <m:sSubPr>
            <m:ctrlPr>
              <w:rPr>
                <w:rFonts w:ascii="Cambria Math" w:eastAsia="Cambria Math" w:hAnsi="Cambria Math" w:cs="Arial"/>
                <w:color w:val="0E101A"/>
              </w:rPr>
            </m:ctrlPr>
          </m:sSubPr>
          <m:e>
            <m:r>
              <w:rPr>
                <w:rFonts w:ascii="Cambria Math" w:eastAsia="Cambria Math" w:hAnsi="Cambria Math" w:cs="Arial"/>
                <w:color w:val="0E101A"/>
              </w:rPr>
              <m:t>Anticipation</m:t>
            </m:r>
          </m:e>
          <m:sub>
            <m:r>
              <w:rPr>
                <w:rFonts w:ascii="Cambria Math" w:eastAsia="Cambria Math" w:hAnsi="Cambria Math" w:cs="Arial"/>
                <w:color w:val="0E101A"/>
              </w:rPr>
              <m:t>Taux</m:t>
            </m:r>
          </m:sub>
        </m:sSub>
      </m:oMath>
      <w:r w:rsidRPr="00011A44">
        <w:rPr>
          <w:rFonts w:ascii="Arial" w:eastAsia="Arial" w:hAnsi="Arial" w:cs="Arial"/>
          <w:color w:val="0E101A"/>
        </w:rPr>
        <w:t xml:space="preserve"> = </w:t>
      </w:r>
      <m:oMath>
        <m:sSub>
          <m:sSubPr>
            <m:ctrlPr>
              <w:rPr>
                <w:rFonts w:ascii="Cambria Math" w:eastAsia="Cambria Math" w:hAnsi="Cambria Math" w:cs="Arial"/>
                <w:color w:val="0E101A"/>
              </w:rPr>
            </m:ctrlPr>
          </m:sSubPr>
          <m:e>
            <m:r>
              <w:rPr>
                <w:rFonts w:ascii="Cambria Math" w:eastAsia="Cambria Math" w:hAnsi="Cambria Math" w:cs="Arial"/>
                <w:color w:val="0E101A"/>
              </w:rPr>
              <m:t>Anticipation</m:t>
            </m:r>
          </m:e>
          <m:sub>
            <m:r>
              <w:rPr>
                <w:rFonts w:ascii="Cambria Math" w:eastAsia="Cambria Math" w:hAnsi="Cambria Math" w:cs="Arial"/>
                <w:color w:val="0E101A"/>
              </w:rPr>
              <m:t>taux réelle</m:t>
            </m:r>
          </m:sub>
        </m:sSub>
      </m:oMath>
      <w:r w:rsidRPr="00011A44">
        <w:rPr>
          <w:rFonts w:ascii="Arial" w:eastAsia="Arial" w:hAnsi="Arial" w:cs="Arial"/>
          <w:color w:val="0E101A"/>
        </w:rPr>
        <w:t xml:space="preserve"> + </w:t>
      </w:r>
      <m:oMath>
        <m:sSub>
          <m:sSubPr>
            <m:ctrlPr>
              <w:rPr>
                <w:rFonts w:ascii="Cambria Math" w:eastAsia="Cambria Math" w:hAnsi="Cambria Math" w:cs="Arial"/>
                <w:color w:val="0E101A"/>
              </w:rPr>
            </m:ctrlPr>
          </m:sSubPr>
          <m:e>
            <m:r>
              <w:rPr>
                <w:rFonts w:ascii="Cambria Math" w:eastAsia="Cambria Math" w:hAnsi="Cambria Math" w:cs="Arial"/>
                <w:color w:val="0E101A"/>
              </w:rPr>
              <m:t>Anticipation</m:t>
            </m:r>
          </m:e>
          <m:sub>
            <m:r>
              <w:rPr>
                <w:rFonts w:ascii="Cambria Math" w:eastAsia="Cambria Math" w:hAnsi="Cambria Math" w:cs="Arial"/>
                <w:color w:val="0E101A"/>
              </w:rPr>
              <m:t>inflation</m:t>
            </m:r>
          </m:sub>
        </m:sSub>
      </m:oMath>
    </w:p>
    <w:p w14:paraId="28155A24" w14:textId="77777777" w:rsidR="00C92965" w:rsidRPr="00011A44" w:rsidRDefault="00C92965" w:rsidP="00011A44">
      <w:pPr>
        <w:jc w:val="center"/>
        <w:rPr>
          <w:rFonts w:ascii="Arial" w:eastAsia="Arial" w:hAnsi="Arial" w:cs="Arial"/>
          <w:color w:val="0E101A"/>
        </w:rPr>
      </w:pPr>
    </w:p>
    <w:p w14:paraId="562FDE8F" w14:textId="77777777" w:rsidR="00C92965" w:rsidRPr="00011A44" w:rsidRDefault="00000000" w:rsidP="00011A44">
      <w:pPr>
        <w:jc w:val="center"/>
        <w:rPr>
          <w:rFonts w:ascii="Arial" w:eastAsia="Arial" w:hAnsi="Arial" w:cs="Arial"/>
          <w:color w:val="0E101A"/>
        </w:rPr>
      </w:pPr>
      <m:oMath>
        <m:sSub>
          <m:sSubPr>
            <m:ctrlPr>
              <w:rPr>
                <w:rFonts w:ascii="Cambria Math" w:eastAsia="Cambria Math" w:hAnsi="Cambria Math" w:cs="Arial"/>
                <w:color w:val="0E101A"/>
              </w:rPr>
            </m:ctrlPr>
          </m:sSubPr>
          <m:e>
            <m:r>
              <w:rPr>
                <w:rFonts w:ascii="Cambria Math" w:eastAsia="Cambria Math" w:hAnsi="Cambria Math" w:cs="Arial"/>
                <w:color w:val="0E101A"/>
              </w:rPr>
              <m:t>Prime</m:t>
            </m:r>
          </m:e>
          <m:sub>
            <m:r>
              <w:rPr>
                <w:rFonts w:ascii="Cambria Math" w:eastAsia="Cambria Math" w:hAnsi="Cambria Math" w:cs="Arial"/>
                <w:color w:val="0E101A"/>
              </w:rPr>
              <m:t>Terme</m:t>
            </m:r>
          </m:sub>
        </m:sSub>
      </m:oMath>
      <w:r w:rsidRPr="00011A44">
        <w:rPr>
          <w:rFonts w:ascii="Arial" w:eastAsia="Arial" w:hAnsi="Arial" w:cs="Arial"/>
          <w:color w:val="0E101A"/>
        </w:rPr>
        <w:t xml:space="preserve"> = </w:t>
      </w:r>
      <m:oMath>
        <m:sSub>
          <m:sSubPr>
            <m:ctrlPr>
              <w:rPr>
                <w:rFonts w:ascii="Cambria Math" w:eastAsia="Cambria Math" w:hAnsi="Cambria Math" w:cs="Arial"/>
                <w:color w:val="0E101A"/>
              </w:rPr>
            </m:ctrlPr>
          </m:sSubPr>
          <m:e>
            <m:r>
              <w:rPr>
                <w:rFonts w:ascii="Cambria Math" w:eastAsia="Cambria Math" w:hAnsi="Cambria Math" w:cs="Arial"/>
                <w:color w:val="0E101A"/>
              </w:rPr>
              <m:t>Prime</m:t>
            </m:r>
          </m:e>
          <m:sub>
            <m:r>
              <w:rPr>
                <w:rFonts w:ascii="Cambria Math" w:eastAsia="Cambria Math" w:hAnsi="Cambria Math" w:cs="Arial"/>
                <w:color w:val="0E101A"/>
              </w:rPr>
              <m:t>terme réelle</m:t>
            </m:r>
          </m:sub>
        </m:sSub>
      </m:oMath>
      <w:r w:rsidRPr="00011A44">
        <w:rPr>
          <w:rFonts w:ascii="Arial" w:eastAsia="Arial" w:hAnsi="Arial" w:cs="Arial"/>
          <w:color w:val="0E101A"/>
        </w:rPr>
        <w:t xml:space="preserve"> + </w:t>
      </w:r>
      <m:oMath>
        <m:sSub>
          <m:sSubPr>
            <m:ctrlPr>
              <w:rPr>
                <w:rFonts w:ascii="Cambria Math" w:eastAsia="Cambria Math" w:hAnsi="Cambria Math" w:cs="Arial"/>
                <w:color w:val="0E101A"/>
              </w:rPr>
            </m:ctrlPr>
          </m:sSubPr>
          <m:e>
            <m:r>
              <w:rPr>
                <w:rFonts w:ascii="Cambria Math" w:eastAsia="Cambria Math" w:hAnsi="Cambria Math" w:cs="Arial"/>
                <w:color w:val="0E101A"/>
              </w:rPr>
              <m:t>Prime</m:t>
            </m:r>
          </m:e>
          <m:sub>
            <m:r>
              <w:rPr>
                <w:rFonts w:ascii="Cambria Math" w:eastAsia="Cambria Math" w:hAnsi="Cambria Math" w:cs="Arial"/>
                <w:color w:val="0E101A"/>
              </w:rPr>
              <m:t>inflation</m:t>
            </m:r>
          </m:sub>
        </m:sSub>
      </m:oMath>
    </w:p>
    <w:p w14:paraId="0579F8BB" w14:textId="77777777" w:rsidR="00C92965" w:rsidRPr="00011A44" w:rsidRDefault="00C92965" w:rsidP="00011A44">
      <w:pPr>
        <w:jc w:val="both"/>
        <w:rPr>
          <w:rFonts w:ascii="Arial" w:eastAsia="Arial" w:hAnsi="Arial" w:cs="Arial"/>
          <w:color w:val="0E101A"/>
        </w:rPr>
      </w:pPr>
    </w:p>
    <w:p w14:paraId="3347DD2D"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Conformément à notre scénario économique nous prévoyons </w:t>
      </w:r>
      <w:r w:rsidRPr="00011A44">
        <w:rPr>
          <w:rFonts w:ascii="Arial" w:eastAsia="Arial" w:hAnsi="Arial" w:cs="Arial"/>
          <w:b/>
          <w:color w:val="0E101A"/>
        </w:rPr>
        <w:t>une baisse des anticipations de taux réelle</w:t>
      </w:r>
      <w:r w:rsidRPr="00011A44">
        <w:rPr>
          <w:rFonts w:ascii="Arial" w:eastAsia="Arial" w:hAnsi="Arial" w:cs="Arial"/>
          <w:color w:val="0E101A"/>
        </w:rPr>
        <w:t xml:space="preserve"> aux vues de l’évolution et des projections de nos différents indicateurs économiques. L’évolution est ligne avec le scénario stable/baissier des taux présentés précédemment.</w:t>
      </w:r>
    </w:p>
    <w:p w14:paraId="66FCC683"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Concernant l’anticipation de l’inflation, nous pensons que </w:t>
      </w:r>
      <w:r w:rsidRPr="00011A44">
        <w:rPr>
          <w:rFonts w:ascii="Arial" w:eastAsia="Arial" w:hAnsi="Arial" w:cs="Arial"/>
          <w:b/>
          <w:color w:val="0E101A"/>
        </w:rPr>
        <w:t>l’inflation est amenée à diminuer</w:t>
      </w:r>
      <w:r w:rsidRPr="00011A44">
        <w:rPr>
          <w:rFonts w:ascii="Arial" w:eastAsia="Arial" w:hAnsi="Arial" w:cs="Arial"/>
          <w:color w:val="0E101A"/>
        </w:rPr>
        <w:t xml:space="preserve"> au cours de l’année 2024, cette prévision est d’ailleurs confirmée par le marché qui “</w:t>
      </w:r>
      <w:proofErr w:type="spellStart"/>
      <w:r w:rsidRPr="00011A44">
        <w:rPr>
          <w:rFonts w:ascii="Arial" w:eastAsia="Arial" w:hAnsi="Arial" w:cs="Arial"/>
          <w:color w:val="0E101A"/>
        </w:rPr>
        <w:t>price</w:t>
      </w:r>
      <w:proofErr w:type="spellEnd"/>
      <w:r w:rsidRPr="00011A44">
        <w:rPr>
          <w:rFonts w:ascii="Arial" w:eastAsia="Arial" w:hAnsi="Arial" w:cs="Arial"/>
          <w:color w:val="0E101A"/>
        </w:rPr>
        <w:t xml:space="preserve">” une baisse d’au moins 100 bps sur l’année 2024 et par notre outil quantitatif (MS-AR) qui prévoit également une baisse de l’inflation pour les US et pour la France. </w:t>
      </w:r>
      <w:r w:rsidRPr="00011A44">
        <w:rPr>
          <w:rFonts w:ascii="Arial" w:eastAsia="Arial" w:hAnsi="Arial" w:cs="Arial"/>
          <w:b/>
          <w:color w:val="0E101A"/>
        </w:rPr>
        <w:t>Sur la partie court terme, nous estimons une forte baisse des taux court terme</w:t>
      </w:r>
      <w:r w:rsidRPr="00011A44">
        <w:rPr>
          <w:rFonts w:ascii="Arial" w:eastAsia="Arial" w:hAnsi="Arial" w:cs="Arial"/>
          <w:color w:val="0E101A"/>
        </w:rPr>
        <w:t xml:space="preserve"> appuyé par ces deux facteurs.</w:t>
      </w:r>
    </w:p>
    <w:p w14:paraId="0A586E27" w14:textId="77777777" w:rsidR="00C92965" w:rsidRPr="00011A44" w:rsidRDefault="00C92965" w:rsidP="00011A44">
      <w:pPr>
        <w:jc w:val="both"/>
        <w:rPr>
          <w:rFonts w:ascii="Arial" w:eastAsia="Arial" w:hAnsi="Arial" w:cs="Arial"/>
          <w:color w:val="0E101A"/>
        </w:rPr>
      </w:pPr>
    </w:p>
    <w:p w14:paraId="17B04A58" w14:textId="2A76A835" w:rsidR="00001A58" w:rsidRPr="00011A44" w:rsidRDefault="00000000" w:rsidP="00011A44">
      <w:pPr>
        <w:jc w:val="both"/>
        <w:rPr>
          <w:rFonts w:ascii="Arial" w:eastAsia="Arial" w:hAnsi="Arial" w:cs="Arial"/>
          <w:color w:val="0E101A"/>
        </w:rPr>
      </w:pPr>
      <w:r w:rsidRPr="00D20D53">
        <w:rPr>
          <w:rFonts w:ascii="Arial" w:eastAsia="Arial" w:hAnsi="Arial" w:cs="Arial"/>
          <w:color w:val="0E101A"/>
        </w:rPr>
        <w:t>Prévision de notre modèle MS-</w:t>
      </w:r>
      <w:r w:rsidR="00001A58" w:rsidRPr="00D20D53">
        <w:rPr>
          <w:rFonts w:ascii="Arial" w:eastAsia="Arial" w:hAnsi="Arial" w:cs="Arial"/>
          <w:color w:val="0E101A"/>
        </w:rPr>
        <w:t>AR (</w:t>
      </w:r>
      <w:r w:rsidRPr="00D20D53">
        <w:rPr>
          <w:rFonts w:ascii="Arial" w:eastAsia="Arial" w:hAnsi="Arial" w:cs="Arial"/>
          <w:color w:val="0E101A"/>
        </w:rPr>
        <w:t xml:space="preserve">2) pour l’inflation : </w:t>
      </w:r>
    </w:p>
    <w:p w14:paraId="2D7B995B" w14:textId="77777777" w:rsidR="00C92965" w:rsidRPr="00011A44" w:rsidRDefault="00C92965" w:rsidP="00011A44">
      <w:pPr>
        <w:jc w:val="both"/>
        <w:rPr>
          <w:rFonts w:ascii="Arial" w:eastAsia="Arial" w:hAnsi="Arial" w:cs="Arial"/>
          <w:color w:val="0E101A"/>
        </w:rPr>
      </w:pPr>
    </w:p>
    <w:tbl>
      <w:tblPr>
        <w:tblStyle w:val="a"/>
        <w:tblW w:w="1046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4"/>
        <w:gridCol w:w="1745"/>
        <w:gridCol w:w="1745"/>
        <w:gridCol w:w="1745"/>
        <w:gridCol w:w="1745"/>
        <w:gridCol w:w="1745"/>
      </w:tblGrid>
      <w:tr w:rsidR="00C92965" w:rsidRPr="00011A44" w14:paraId="35C27048" w14:textId="77777777">
        <w:tc>
          <w:tcPr>
            <w:tcW w:w="1744" w:type="dxa"/>
            <w:shd w:val="clear" w:color="auto" w:fill="auto"/>
            <w:tcMar>
              <w:top w:w="100" w:type="dxa"/>
              <w:left w:w="100" w:type="dxa"/>
              <w:bottom w:w="100" w:type="dxa"/>
              <w:right w:w="100" w:type="dxa"/>
            </w:tcMar>
          </w:tcPr>
          <w:p w14:paraId="79B6F785" w14:textId="77777777" w:rsidR="00C92965" w:rsidRPr="00011A44" w:rsidRDefault="00C92965" w:rsidP="00011A44">
            <w:pPr>
              <w:widowControl w:val="0"/>
              <w:pBdr>
                <w:top w:val="nil"/>
                <w:left w:val="nil"/>
                <w:bottom w:val="nil"/>
                <w:right w:val="nil"/>
                <w:between w:val="nil"/>
              </w:pBdr>
              <w:rPr>
                <w:rFonts w:ascii="Arial" w:eastAsia="Arial" w:hAnsi="Arial" w:cs="Arial"/>
                <w:color w:val="0E101A"/>
              </w:rPr>
            </w:pPr>
          </w:p>
        </w:tc>
        <w:tc>
          <w:tcPr>
            <w:tcW w:w="1744" w:type="dxa"/>
            <w:shd w:val="clear" w:color="auto" w:fill="auto"/>
            <w:tcMar>
              <w:top w:w="100" w:type="dxa"/>
              <w:left w:w="100" w:type="dxa"/>
              <w:bottom w:w="100" w:type="dxa"/>
              <w:right w:w="100" w:type="dxa"/>
            </w:tcMar>
          </w:tcPr>
          <w:p w14:paraId="7B42A3BF"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Novembre 2023</w:t>
            </w:r>
          </w:p>
        </w:tc>
        <w:tc>
          <w:tcPr>
            <w:tcW w:w="1744" w:type="dxa"/>
            <w:shd w:val="clear" w:color="auto" w:fill="auto"/>
            <w:tcMar>
              <w:top w:w="100" w:type="dxa"/>
              <w:left w:w="100" w:type="dxa"/>
              <w:bottom w:w="100" w:type="dxa"/>
              <w:right w:w="100" w:type="dxa"/>
            </w:tcMar>
          </w:tcPr>
          <w:p w14:paraId="4690CF19"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Décembre 2023</w:t>
            </w:r>
          </w:p>
        </w:tc>
        <w:tc>
          <w:tcPr>
            <w:tcW w:w="1744" w:type="dxa"/>
            <w:shd w:val="clear" w:color="auto" w:fill="auto"/>
            <w:tcMar>
              <w:top w:w="100" w:type="dxa"/>
              <w:left w:w="100" w:type="dxa"/>
              <w:bottom w:w="100" w:type="dxa"/>
              <w:right w:w="100" w:type="dxa"/>
            </w:tcMar>
          </w:tcPr>
          <w:p w14:paraId="3C65BD89"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Janvier 2024</w:t>
            </w:r>
          </w:p>
        </w:tc>
        <w:tc>
          <w:tcPr>
            <w:tcW w:w="1744" w:type="dxa"/>
            <w:shd w:val="clear" w:color="auto" w:fill="auto"/>
            <w:tcMar>
              <w:top w:w="100" w:type="dxa"/>
              <w:left w:w="100" w:type="dxa"/>
              <w:bottom w:w="100" w:type="dxa"/>
              <w:right w:w="100" w:type="dxa"/>
            </w:tcMar>
          </w:tcPr>
          <w:p w14:paraId="2625073D"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Février 2024</w:t>
            </w:r>
          </w:p>
        </w:tc>
        <w:tc>
          <w:tcPr>
            <w:tcW w:w="1744" w:type="dxa"/>
            <w:shd w:val="clear" w:color="auto" w:fill="auto"/>
            <w:tcMar>
              <w:top w:w="100" w:type="dxa"/>
              <w:left w:w="100" w:type="dxa"/>
              <w:bottom w:w="100" w:type="dxa"/>
              <w:right w:w="100" w:type="dxa"/>
            </w:tcMar>
          </w:tcPr>
          <w:p w14:paraId="75937A29"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Mars 2024</w:t>
            </w:r>
          </w:p>
        </w:tc>
      </w:tr>
      <w:tr w:rsidR="00C92965" w:rsidRPr="00011A44" w14:paraId="0E60B3FA" w14:textId="77777777" w:rsidTr="006E31C1">
        <w:trPr>
          <w:trHeight w:val="17"/>
        </w:trPr>
        <w:tc>
          <w:tcPr>
            <w:tcW w:w="1744" w:type="dxa"/>
            <w:shd w:val="clear" w:color="auto" w:fill="auto"/>
            <w:tcMar>
              <w:top w:w="100" w:type="dxa"/>
              <w:left w:w="100" w:type="dxa"/>
              <w:bottom w:w="100" w:type="dxa"/>
              <w:right w:w="100" w:type="dxa"/>
            </w:tcMar>
          </w:tcPr>
          <w:p w14:paraId="7F5A3785" w14:textId="77777777" w:rsidR="00C92965" w:rsidRPr="00011A44" w:rsidRDefault="00000000" w:rsidP="00011A44">
            <w:pPr>
              <w:widowControl w:val="0"/>
              <w:pBdr>
                <w:top w:val="nil"/>
                <w:left w:val="nil"/>
                <w:bottom w:val="nil"/>
                <w:right w:val="nil"/>
                <w:between w:val="nil"/>
              </w:pBdr>
              <w:rPr>
                <w:rFonts w:ascii="Arial" w:eastAsia="Arial" w:hAnsi="Arial" w:cs="Arial"/>
                <w:color w:val="0E101A"/>
                <w:sz w:val="20"/>
                <w:szCs w:val="20"/>
              </w:rPr>
            </w:pPr>
            <w:r w:rsidRPr="00011A44">
              <w:rPr>
                <w:rFonts w:ascii="Arial" w:eastAsia="Arial" w:hAnsi="Arial" w:cs="Arial"/>
                <w:color w:val="0E101A"/>
                <w:sz w:val="20"/>
                <w:szCs w:val="20"/>
              </w:rPr>
              <w:t>USA</w:t>
            </w:r>
          </w:p>
        </w:tc>
        <w:tc>
          <w:tcPr>
            <w:tcW w:w="1744" w:type="dxa"/>
            <w:shd w:val="clear" w:color="auto" w:fill="auto"/>
            <w:tcMar>
              <w:top w:w="100" w:type="dxa"/>
              <w:left w:w="100" w:type="dxa"/>
              <w:bottom w:w="100" w:type="dxa"/>
              <w:right w:w="100" w:type="dxa"/>
            </w:tcMar>
          </w:tcPr>
          <w:p w14:paraId="4310E074"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2,94</w:t>
            </w:r>
          </w:p>
        </w:tc>
        <w:tc>
          <w:tcPr>
            <w:tcW w:w="1744" w:type="dxa"/>
            <w:shd w:val="clear" w:color="auto" w:fill="auto"/>
            <w:tcMar>
              <w:top w:w="100" w:type="dxa"/>
              <w:left w:w="100" w:type="dxa"/>
              <w:bottom w:w="100" w:type="dxa"/>
              <w:right w:w="100" w:type="dxa"/>
            </w:tcMar>
          </w:tcPr>
          <w:p w14:paraId="797F94C9"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2,76</w:t>
            </w:r>
          </w:p>
        </w:tc>
        <w:tc>
          <w:tcPr>
            <w:tcW w:w="1744" w:type="dxa"/>
            <w:shd w:val="clear" w:color="auto" w:fill="auto"/>
            <w:tcMar>
              <w:top w:w="100" w:type="dxa"/>
              <w:left w:w="100" w:type="dxa"/>
              <w:bottom w:w="100" w:type="dxa"/>
              <w:right w:w="100" w:type="dxa"/>
            </w:tcMar>
          </w:tcPr>
          <w:p w14:paraId="2E7BCA46"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2,62</w:t>
            </w:r>
          </w:p>
        </w:tc>
        <w:tc>
          <w:tcPr>
            <w:tcW w:w="1744" w:type="dxa"/>
            <w:shd w:val="clear" w:color="auto" w:fill="auto"/>
            <w:tcMar>
              <w:top w:w="100" w:type="dxa"/>
              <w:left w:w="100" w:type="dxa"/>
              <w:bottom w:w="100" w:type="dxa"/>
              <w:right w:w="100" w:type="dxa"/>
            </w:tcMar>
          </w:tcPr>
          <w:p w14:paraId="5E0B9E98"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2,50</w:t>
            </w:r>
          </w:p>
        </w:tc>
        <w:tc>
          <w:tcPr>
            <w:tcW w:w="1744" w:type="dxa"/>
            <w:shd w:val="clear" w:color="auto" w:fill="auto"/>
            <w:tcMar>
              <w:top w:w="100" w:type="dxa"/>
              <w:left w:w="100" w:type="dxa"/>
              <w:bottom w:w="100" w:type="dxa"/>
              <w:right w:w="100" w:type="dxa"/>
            </w:tcMar>
          </w:tcPr>
          <w:p w14:paraId="7ED00BC6"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w:t>
            </w:r>
          </w:p>
        </w:tc>
      </w:tr>
      <w:tr w:rsidR="00C92965" w:rsidRPr="00011A44" w14:paraId="73FF0A25" w14:textId="77777777" w:rsidTr="006E31C1">
        <w:trPr>
          <w:trHeight w:val="17"/>
        </w:trPr>
        <w:tc>
          <w:tcPr>
            <w:tcW w:w="1744" w:type="dxa"/>
            <w:shd w:val="clear" w:color="auto" w:fill="auto"/>
            <w:tcMar>
              <w:top w:w="100" w:type="dxa"/>
              <w:left w:w="100" w:type="dxa"/>
              <w:bottom w:w="100" w:type="dxa"/>
              <w:right w:w="100" w:type="dxa"/>
            </w:tcMar>
          </w:tcPr>
          <w:p w14:paraId="2EE539D7" w14:textId="77777777" w:rsidR="00C92965" w:rsidRPr="00011A44" w:rsidRDefault="00000000" w:rsidP="00011A44">
            <w:pPr>
              <w:widowControl w:val="0"/>
              <w:pBdr>
                <w:top w:val="nil"/>
                <w:left w:val="nil"/>
                <w:bottom w:val="nil"/>
                <w:right w:val="nil"/>
                <w:between w:val="nil"/>
              </w:pBdr>
              <w:rPr>
                <w:rFonts w:ascii="Arial" w:eastAsia="Arial" w:hAnsi="Arial" w:cs="Arial"/>
                <w:color w:val="0E101A"/>
                <w:sz w:val="20"/>
                <w:szCs w:val="20"/>
              </w:rPr>
            </w:pPr>
            <w:r w:rsidRPr="00011A44">
              <w:rPr>
                <w:rFonts w:ascii="Arial" w:eastAsia="Arial" w:hAnsi="Arial" w:cs="Arial"/>
                <w:color w:val="0E101A"/>
                <w:sz w:val="20"/>
                <w:szCs w:val="20"/>
              </w:rPr>
              <w:t>France</w:t>
            </w:r>
          </w:p>
        </w:tc>
        <w:tc>
          <w:tcPr>
            <w:tcW w:w="1744" w:type="dxa"/>
            <w:shd w:val="clear" w:color="auto" w:fill="auto"/>
            <w:tcMar>
              <w:top w:w="100" w:type="dxa"/>
              <w:left w:w="100" w:type="dxa"/>
              <w:bottom w:w="100" w:type="dxa"/>
              <w:right w:w="100" w:type="dxa"/>
            </w:tcMar>
          </w:tcPr>
          <w:p w14:paraId="2AE8B38A" w14:textId="65322E46" w:rsidR="00C92965" w:rsidRPr="00B441EA"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B441EA">
              <w:rPr>
                <w:rFonts w:ascii="Arial" w:eastAsia="Arial" w:hAnsi="Arial" w:cs="Arial"/>
                <w:color w:val="0E101A"/>
                <w:sz w:val="20"/>
                <w:szCs w:val="20"/>
              </w:rPr>
              <w:t>3,4</w:t>
            </w:r>
            <w:r w:rsidR="00B441EA">
              <w:rPr>
                <w:rStyle w:val="Appelnotedebasdep"/>
                <w:rFonts w:ascii="Arial" w:eastAsia="Arial" w:hAnsi="Arial" w:cs="Arial"/>
                <w:color w:val="0E101A"/>
                <w:sz w:val="20"/>
                <w:szCs w:val="20"/>
              </w:rPr>
              <w:footnoteReference w:id="1"/>
            </w:r>
          </w:p>
        </w:tc>
        <w:tc>
          <w:tcPr>
            <w:tcW w:w="1744" w:type="dxa"/>
            <w:shd w:val="clear" w:color="auto" w:fill="auto"/>
            <w:tcMar>
              <w:top w:w="100" w:type="dxa"/>
              <w:left w:w="100" w:type="dxa"/>
              <w:bottom w:w="100" w:type="dxa"/>
              <w:right w:w="100" w:type="dxa"/>
            </w:tcMar>
          </w:tcPr>
          <w:p w14:paraId="3C3C8515"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3,17</w:t>
            </w:r>
          </w:p>
        </w:tc>
        <w:tc>
          <w:tcPr>
            <w:tcW w:w="1744" w:type="dxa"/>
            <w:shd w:val="clear" w:color="auto" w:fill="auto"/>
            <w:tcMar>
              <w:top w:w="100" w:type="dxa"/>
              <w:left w:w="100" w:type="dxa"/>
              <w:bottom w:w="100" w:type="dxa"/>
              <w:right w:w="100" w:type="dxa"/>
            </w:tcMar>
          </w:tcPr>
          <w:p w14:paraId="78CA4932"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2,98</w:t>
            </w:r>
          </w:p>
        </w:tc>
        <w:tc>
          <w:tcPr>
            <w:tcW w:w="1744" w:type="dxa"/>
            <w:shd w:val="clear" w:color="auto" w:fill="auto"/>
            <w:tcMar>
              <w:top w:w="100" w:type="dxa"/>
              <w:left w:w="100" w:type="dxa"/>
              <w:bottom w:w="100" w:type="dxa"/>
              <w:right w:w="100" w:type="dxa"/>
            </w:tcMar>
          </w:tcPr>
          <w:p w14:paraId="036709D0"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2,80</w:t>
            </w:r>
          </w:p>
        </w:tc>
        <w:tc>
          <w:tcPr>
            <w:tcW w:w="1744" w:type="dxa"/>
            <w:shd w:val="clear" w:color="auto" w:fill="auto"/>
            <w:tcMar>
              <w:top w:w="100" w:type="dxa"/>
              <w:left w:w="100" w:type="dxa"/>
              <w:bottom w:w="100" w:type="dxa"/>
              <w:right w:w="100" w:type="dxa"/>
            </w:tcMar>
          </w:tcPr>
          <w:p w14:paraId="22F033C6" w14:textId="77777777" w:rsidR="00C92965" w:rsidRPr="00011A44" w:rsidRDefault="00000000" w:rsidP="00011A44">
            <w:pPr>
              <w:widowControl w:val="0"/>
              <w:pBdr>
                <w:top w:val="nil"/>
                <w:left w:val="nil"/>
                <w:bottom w:val="nil"/>
                <w:right w:val="nil"/>
                <w:between w:val="nil"/>
              </w:pBdr>
              <w:jc w:val="center"/>
              <w:rPr>
                <w:rFonts w:ascii="Arial" w:eastAsia="Arial" w:hAnsi="Arial" w:cs="Arial"/>
                <w:color w:val="0E101A"/>
                <w:sz w:val="20"/>
                <w:szCs w:val="20"/>
              </w:rPr>
            </w:pPr>
            <w:r w:rsidRPr="00011A44">
              <w:rPr>
                <w:rFonts w:ascii="Arial" w:eastAsia="Arial" w:hAnsi="Arial" w:cs="Arial"/>
                <w:color w:val="0E101A"/>
                <w:sz w:val="20"/>
                <w:szCs w:val="20"/>
              </w:rPr>
              <w:t>2,63</w:t>
            </w:r>
          </w:p>
        </w:tc>
      </w:tr>
    </w:tbl>
    <w:p w14:paraId="1A3517C4" w14:textId="0CC22A50" w:rsidR="00C92965" w:rsidRPr="00011A44" w:rsidRDefault="00C92965" w:rsidP="00011A44">
      <w:pPr>
        <w:jc w:val="both"/>
        <w:rPr>
          <w:rFonts w:ascii="Arial" w:eastAsia="Arial" w:hAnsi="Arial" w:cs="Arial"/>
          <w:i/>
          <w:color w:val="0E101A"/>
          <w:sz w:val="16"/>
          <w:szCs w:val="16"/>
        </w:rPr>
      </w:pPr>
    </w:p>
    <w:p w14:paraId="01DD8A75" w14:textId="77777777" w:rsidR="00C92965" w:rsidRPr="00011A44" w:rsidRDefault="00C92965" w:rsidP="00011A44">
      <w:pPr>
        <w:jc w:val="both"/>
        <w:rPr>
          <w:rFonts w:ascii="Arial" w:eastAsia="Arial" w:hAnsi="Arial" w:cs="Arial"/>
          <w:color w:val="0E101A"/>
        </w:rPr>
      </w:pPr>
    </w:p>
    <w:p w14:paraId="2B154C39"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Concernant la deuxième composante nous prévoyons une </w:t>
      </w:r>
      <w:r w:rsidRPr="00011A44">
        <w:rPr>
          <w:rFonts w:ascii="Arial" w:eastAsia="Arial" w:hAnsi="Arial" w:cs="Arial"/>
          <w:b/>
          <w:color w:val="0E101A"/>
        </w:rPr>
        <w:t>hausse de la prime de terme réelle</w:t>
      </w:r>
      <w:r w:rsidRPr="00011A44">
        <w:rPr>
          <w:rFonts w:ascii="Arial" w:eastAsia="Arial" w:hAnsi="Arial" w:cs="Arial"/>
          <w:color w:val="0E101A"/>
        </w:rPr>
        <w:t xml:space="preserve"> poussé par le sentiment de reprise de l’économie mais une </w:t>
      </w:r>
      <w:r w:rsidRPr="00011A44">
        <w:rPr>
          <w:rFonts w:ascii="Arial" w:eastAsia="Arial" w:hAnsi="Arial" w:cs="Arial"/>
          <w:b/>
          <w:color w:val="0E101A"/>
        </w:rPr>
        <w:t>baisse de la prime d’inflation</w:t>
      </w:r>
      <w:r w:rsidRPr="00011A44">
        <w:rPr>
          <w:rFonts w:ascii="Arial" w:eastAsia="Arial" w:hAnsi="Arial" w:cs="Arial"/>
          <w:color w:val="0E101A"/>
        </w:rPr>
        <w:t xml:space="preserve"> lié une baisse de la volatilité de l’inflation conformément à notre outil quantitatif.</w:t>
      </w:r>
    </w:p>
    <w:p w14:paraId="6B19F681" w14:textId="77777777" w:rsidR="00C92965" w:rsidRPr="00011A44" w:rsidRDefault="00000000" w:rsidP="00011A44">
      <w:pPr>
        <w:jc w:val="both"/>
        <w:rPr>
          <w:rFonts w:ascii="Arial" w:eastAsia="Arial" w:hAnsi="Arial" w:cs="Arial"/>
          <w:color w:val="0E101A"/>
        </w:rPr>
      </w:pPr>
      <w:r w:rsidRPr="00011A44">
        <w:rPr>
          <w:rFonts w:ascii="Arial" w:eastAsia="Arial" w:hAnsi="Arial" w:cs="Arial"/>
          <w:b/>
          <w:color w:val="0E101A"/>
        </w:rPr>
        <w:t>Sur la partie long terme, deux effets opposés se compensent</w:t>
      </w:r>
      <w:r w:rsidRPr="00011A44">
        <w:rPr>
          <w:rFonts w:ascii="Arial" w:eastAsia="Arial" w:hAnsi="Arial" w:cs="Arial"/>
          <w:color w:val="0E101A"/>
        </w:rPr>
        <w:t>, ainsi nous ne prévoyons pas de modification sur la partie long terme au cours de l’année si ce n’est une réduction négligeable.</w:t>
      </w:r>
    </w:p>
    <w:p w14:paraId="40E1BC7C" w14:textId="77777777" w:rsidR="00001A58" w:rsidRPr="00011A44" w:rsidRDefault="00001A58" w:rsidP="00011A44">
      <w:pPr>
        <w:jc w:val="both"/>
        <w:rPr>
          <w:rFonts w:ascii="Arial" w:eastAsia="Arial" w:hAnsi="Arial" w:cs="Arial"/>
          <w:color w:val="0E101A"/>
        </w:rPr>
      </w:pPr>
    </w:p>
    <w:p w14:paraId="0EB161D2"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Ainsi, nos projections nous mènent à penser que nous nous dirigeons vers une </w:t>
      </w:r>
      <w:r w:rsidRPr="00011A44">
        <w:rPr>
          <w:rFonts w:ascii="Arial" w:eastAsia="Arial" w:hAnsi="Arial" w:cs="Arial"/>
          <w:b/>
          <w:color w:val="0E101A"/>
        </w:rPr>
        <w:t>structure des taux « habituels »</w:t>
      </w:r>
      <w:r w:rsidRPr="00011A44">
        <w:rPr>
          <w:rFonts w:ascii="Arial" w:eastAsia="Arial" w:hAnsi="Arial" w:cs="Arial"/>
          <w:color w:val="0E101A"/>
        </w:rPr>
        <w:t xml:space="preserve"> avec des taux longs supérieur aux taux court. Cette conclusion correspondrait à un “Bull </w:t>
      </w:r>
      <w:proofErr w:type="spellStart"/>
      <w:r w:rsidRPr="00011A44">
        <w:rPr>
          <w:rFonts w:ascii="Arial" w:eastAsia="Arial" w:hAnsi="Arial" w:cs="Arial"/>
          <w:color w:val="0E101A"/>
        </w:rPr>
        <w:t>Steepening</w:t>
      </w:r>
      <w:proofErr w:type="spellEnd"/>
      <w:r w:rsidRPr="00011A44">
        <w:rPr>
          <w:rFonts w:ascii="Arial" w:eastAsia="Arial" w:hAnsi="Arial" w:cs="Arial"/>
          <w:color w:val="0E101A"/>
        </w:rPr>
        <w:t>” sur la courbe des taux.</w:t>
      </w:r>
    </w:p>
    <w:p w14:paraId="46027F78" w14:textId="77777777" w:rsidR="00C92965" w:rsidRPr="00011A44" w:rsidRDefault="00C92965" w:rsidP="00011A44">
      <w:pPr>
        <w:jc w:val="both"/>
        <w:rPr>
          <w:rFonts w:ascii="Arial" w:eastAsia="Arial" w:hAnsi="Arial" w:cs="Arial"/>
          <w:color w:val="0E101A"/>
        </w:rPr>
      </w:pPr>
    </w:p>
    <w:p w14:paraId="68E0F1B0"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lastRenderedPageBreak/>
        <w:t xml:space="preserve">Nous pouvons aussi lier nos avis sur la </w:t>
      </w:r>
      <w:r w:rsidRPr="00011A44">
        <w:rPr>
          <w:rFonts w:ascii="Arial" w:eastAsia="Arial" w:hAnsi="Arial" w:cs="Arial"/>
          <w:b/>
          <w:color w:val="0E101A"/>
        </w:rPr>
        <w:t>politique monétaire expansionniste</w:t>
      </w:r>
      <w:r w:rsidRPr="00011A44">
        <w:rPr>
          <w:rFonts w:ascii="Arial" w:eastAsia="Arial" w:hAnsi="Arial" w:cs="Arial"/>
          <w:color w:val="0E101A"/>
        </w:rPr>
        <w:t xml:space="preserve"> et la </w:t>
      </w:r>
      <w:r w:rsidRPr="00011A44">
        <w:rPr>
          <w:rFonts w:ascii="Arial" w:eastAsia="Arial" w:hAnsi="Arial" w:cs="Arial"/>
          <w:b/>
          <w:color w:val="0E101A"/>
        </w:rPr>
        <w:t>politique budgétaire restrictive</w:t>
      </w:r>
      <w:r w:rsidRPr="00011A44">
        <w:rPr>
          <w:rFonts w:ascii="Arial" w:eastAsia="Arial" w:hAnsi="Arial" w:cs="Arial"/>
          <w:color w:val="0E101A"/>
        </w:rPr>
        <w:t xml:space="preserve"> à la structure des taux, en effet, ceci correspondrait à des </w:t>
      </w:r>
      <w:r w:rsidRPr="00011A44">
        <w:rPr>
          <w:rFonts w:ascii="Arial" w:eastAsia="Arial" w:hAnsi="Arial" w:cs="Arial"/>
          <w:b/>
          <w:color w:val="0E101A"/>
        </w:rPr>
        <w:t>taux court bas</w:t>
      </w:r>
      <w:r w:rsidRPr="00011A44">
        <w:rPr>
          <w:rFonts w:ascii="Arial" w:eastAsia="Arial" w:hAnsi="Arial" w:cs="Arial"/>
          <w:color w:val="0E101A"/>
        </w:rPr>
        <w:t xml:space="preserve"> et des </w:t>
      </w:r>
      <w:r w:rsidRPr="00011A44">
        <w:rPr>
          <w:rFonts w:ascii="Arial" w:eastAsia="Arial" w:hAnsi="Arial" w:cs="Arial"/>
          <w:b/>
          <w:color w:val="0E101A"/>
        </w:rPr>
        <w:t>taux longs bas</w:t>
      </w:r>
      <w:r w:rsidRPr="00011A44">
        <w:rPr>
          <w:rFonts w:ascii="Arial" w:eastAsia="Arial" w:hAnsi="Arial" w:cs="Arial"/>
          <w:color w:val="0E101A"/>
        </w:rPr>
        <w:t xml:space="preserve"> par la suite.</w:t>
      </w:r>
    </w:p>
    <w:p w14:paraId="18A4D7A3" w14:textId="77777777" w:rsidR="00C92965" w:rsidRPr="00011A44" w:rsidRDefault="00C92965" w:rsidP="00011A44">
      <w:pPr>
        <w:jc w:val="both"/>
        <w:rPr>
          <w:rFonts w:ascii="Arial" w:eastAsia="Arial" w:hAnsi="Arial" w:cs="Arial"/>
          <w:color w:val="0E101A"/>
        </w:rPr>
      </w:pPr>
    </w:p>
    <w:p w14:paraId="06F154DF"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Enfin, nous allons aborder l’évolution des spreads, nous pensons que cette hypothèse de relance devrait contribuer à </w:t>
      </w:r>
      <w:r w:rsidRPr="00011A44">
        <w:rPr>
          <w:rFonts w:ascii="Arial" w:eastAsia="Arial" w:hAnsi="Arial" w:cs="Arial"/>
          <w:b/>
          <w:color w:val="0E101A"/>
        </w:rPr>
        <w:t>réduire le spread</w:t>
      </w:r>
      <w:r w:rsidRPr="00011A44">
        <w:rPr>
          <w:rFonts w:ascii="Arial" w:eastAsia="Arial" w:hAnsi="Arial" w:cs="Arial"/>
          <w:color w:val="0E101A"/>
        </w:rPr>
        <w:t xml:space="preserve"> entre différents pays, notamment entre la France, l'Allemagne et les États-Unis. Cette réduction du spread est d'autant plus significative à court terme, ce qui rend les titres offrant un rendement plus élevé particulièrement attrayants. Ces titres, bien que plus rentables pendant les périodes d'expansion, présentent un risque moindre comparé à d'autres périodes.</w:t>
      </w:r>
    </w:p>
    <w:p w14:paraId="73519B84" w14:textId="77777777" w:rsidR="00C92965" w:rsidRPr="00011A44" w:rsidRDefault="00C92965" w:rsidP="00011A44">
      <w:pPr>
        <w:jc w:val="both"/>
        <w:rPr>
          <w:rFonts w:ascii="Arial" w:eastAsia="Arial" w:hAnsi="Arial" w:cs="Arial"/>
          <w:color w:val="0E101A"/>
        </w:rPr>
      </w:pPr>
    </w:p>
    <w:p w14:paraId="1CC8131D" w14:textId="77777777" w:rsidR="00C92965" w:rsidRPr="00011A44" w:rsidRDefault="00C92965" w:rsidP="00011A44">
      <w:pPr>
        <w:jc w:val="both"/>
        <w:rPr>
          <w:rFonts w:ascii="Arial" w:eastAsia="Arial" w:hAnsi="Arial" w:cs="Arial"/>
          <w:color w:val="0E101A"/>
        </w:rPr>
      </w:pPr>
    </w:p>
    <w:p w14:paraId="4291F243" w14:textId="77777777" w:rsidR="00C92965" w:rsidRPr="00D20D53" w:rsidRDefault="00000000" w:rsidP="00011A44">
      <w:pPr>
        <w:pBdr>
          <w:top w:val="nil"/>
          <w:left w:val="nil"/>
          <w:bottom w:val="nil"/>
          <w:right w:val="nil"/>
          <w:between w:val="nil"/>
        </w:pBdr>
        <w:ind w:firstLine="720"/>
        <w:jc w:val="both"/>
        <w:rPr>
          <w:rFonts w:ascii="Arial" w:eastAsia="Arial" w:hAnsi="Arial" w:cs="Arial"/>
          <w:color w:val="0E101A"/>
          <w:sz w:val="26"/>
          <w:szCs w:val="26"/>
        </w:rPr>
      </w:pPr>
      <w:r w:rsidRPr="00D20D53">
        <w:rPr>
          <w:rFonts w:ascii="Arial" w:eastAsia="Arial" w:hAnsi="Arial" w:cs="Arial"/>
          <w:color w:val="0E101A"/>
          <w:sz w:val="26"/>
          <w:szCs w:val="26"/>
        </w:rPr>
        <w:t xml:space="preserve">2. </w:t>
      </w:r>
      <w:r w:rsidRPr="00D20D53">
        <w:rPr>
          <w:rFonts w:ascii="Arial" w:eastAsia="Arial" w:hAnsi="Arial" w:cs="Arial"/>
          <w:color w:val="0E101A"/>
          <w:sz w:val="26"/>
          <w:szCs w:val="26"/>
          <w:u w:val="single"/>
        </w:rPr>
        <w:t>Marché action</w:t>
      </w:r>
      <w:r w:rsidRPr="00D20D53">
        <w:rPr>
          <w:rFonts w:ascii="Arial" w:eastAsia="Arial" w:hAnsi="Arial" w:cs="Arial"/>
          <w:color w:val="0E101A"/>
          <w:sz w:val="26"/>
          <w:szCs w:val="26"/>
        </w:rPr>
        <w:t> :</w:t>
      </w:r>
    </w:p>
    <w:p w14:paraId="7407CD0D" w14:textId="77777777" w:rsidR="00C92965" w:rsidRPr="00011A44" w:rsidRDefault="00C92965" w:rsidP="00011A44">
      <w:pPr>
        <w:pBdr>
          <w:top w:val="nil"/>
          <w:left w:val="nil"/>
          <w:bottom w:val="nil"/>
          <w:right w:val="nil"/>
          <w:between w:val="nil"/>
        </w:pBdr>
        <w:jc w:val="both"/>
        <w:rPr>
          <w:rFonts w:ascii="Arial" w:eastAsia="Arial" w:hAnsi="Arial" w:cs="Arial"/>
          <w:color w:val="0E101A"/>
        </w:rPr>
      </w:pPr>
    </w:p>
    <w:p w14:paraId="6A526E52" w14:textId="3BBC8F9C" w:rsidR="00C92965" w:rsidRPr="00011A44" w:rsidRDefault="00001A58" w:rsidP="00011A44">
      <w:pPr>
        <w:jc w:val="both"/>
        <w:rPr>
          <w:rFonts w:ascii="Arial" w:eastAsia="Arial" w:hAnsi="Arial" w:cs="Arial"/>
          <w:color w:val="0E101A"/>
        </w:rPr>
      </w:pPr>
      <w:r w:rsidRPr="00011A44">
        <w:rPr>
          <w:rFonts w:ascii="Arial" w:eastAsia="Arial" w:hAnsi="Arial" w:cs="Arial"/>
          <w:color w:val="0E101A"/>
        </w:rPr>
        <w:t xml:space="preserve">La formule simplifiée de Gordon-Shapiro (1966) nous indique que : </w:t>
      </w:r>
    </w:p>
    <w:p w14:paraId="775F30B4" w14:textId="736AEA9C" w:rsidR="00C92965" w:rsidRPr="00011A44" w:rsidRDefault="00001A58" w:rsidP="00011A44">
      <w:pPr>
        <w:jc w:val="both"/>
        <w:rPr>
          <w:rFonts w:ascii="Arial" w:eastAsia="Arial" w:hAnsi="Arial" w:cs="Arial"/>
          <w:color w:val="0E101A"/>
        </w:rPr>
      </w:pPr>
      <w:r w:rsidRPr="00011A44">
        <w:rPr>
          <w:rFonts w:ascii="Arial" w:hAnsi="Arial" w:cs="Arial"/>
          <w:noProof/>
        </w:rPr>
        <w:drawing>
          <wp:anchor distT="114300" distB="114300" distL="114300" distR="114300" simplePos="0" relativeHeight="251658240" behindDoc="0" locked="0" layoutInCell="1" hidden="0" allowOverlap="1" wp14:anchorId="3F822C85" wp14:editId="06C7DA07">
            <wp:simplePos x="0" y="0"/>
            <wp:positionH relativeFrom="column">
              <wp:posOffset>4143375</wp:posOffset>
            </wp:positionH>
            <wp:positionV relativeFrom="paragraph">
              <wp:posOffset>177165</wp:posOffset>
            </wp:positionV>
            <wp:extent cx="1780048" cy="42966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80048" cy="429667"/>
                    </a:xfrm>
                    <a:prstGeom prst="rect">
                      <a:avLst/>
                    </a:prstGeom>
                    <a:ln/>
                  </pic:spPr>
                </pic:pic>
              </a:graphicData>
            </a:graphic>
          </wp:anchor>
        </w:drawing>
      </w:r>
    </w:p>
    <w:p w14:paraId="19DC5F55" w14:textId="77777777" w:rsidR="00C92965" w:rsidRPr="00011A44" w:rsidRDefault="00000000" w:rsidP="00011A44">
      <w:pPr>
        <w:jc w:val="center"/>
        <w:rPr>
          <w:rFonts w:ascii="Arial" w:eastAsia="Arial" w:hAnsi="Arial" w:cs="Arial"/>
          <w:color w:val="0E101A"/>
        </w:rPr>
      </w:pPr>
      <m:oMathPara>
        <m:oMath>
          <m:sSub>
            <m:sSubPr>
              <m:ctrlPr>
                <w:rPr>
                  <w:rFonts w:ascii="Cambria Math" w:eastAsia="Cambria Math" w:hAnsi="Cambria Math" w:cs="Arial"/>
                  <w:color w:val="0E101A"/>
                </w:rPr>
              </m:ctrlPr>
            </m:sSubPr>
            <m:e>
              <m:r>
                <w:rPr>
                  <w:rFonts w:ascii="Cambria Math" w:eastAsia="Cambria Math" w:hAnsi="Cambria Math" w:cs="Arial"/>
                  <w:color w:val="0E101A"/>
                </w:rPr>
                <m:t>P</m:t>
              </m:r>
            </m:e>
            <m:sub>
              <m:r>
                <w:rPr>
                  <w:rFonts w:ascii="Cambria Math" w:eastAsia="Cambria Math" w:hAnsi="Cambria Math" w:cs="Arial"/>
                  <w:color w:val="0E101A"/>
                </w:rPr>
                <m:t>0</m:t>
              </m:r>
            </m:sub>
          </m:sSub>
          <m:r>
            <w:rPr>
              <w:rFonts w:ascii="Cambria Math" w:eastAsia="Arial" w:hAnsi="Cambria Math" w:cs="Arial"/>
              <w:color w:val="0E101A"/>
            </w:rPr>
            <m:t>=</m:t>
          </m:r>
          <m:f>
            <m:fPr>
              <m:ctrlPr>
                <w:rPr>
                  <w:rFonts w:ascii="Cambria Math" w:eastAsia="Arial" w:hAnsi="Cambria Math" w:cs="Arial"/>
                  <w:color w:val="0E101A"/>
                </w:rPr>
              </m:ctrlPr>
            </m:fPr>
            <m:num>
              <m:sSub>
                <m:sSubPr>
                  <m:ctrlPr>
                    <w:rPr>
                      <w:rFonts w:ascii="Cambria Math" w:eastAsia="Cambria Math" w:hAnsi="Cambria Math" w:cs="Arial"/>
                      <w:color w:val="0E101A"/>
                    </w:rPr>
                  </m:ctrlPr>
                </m:sSubPr>
                <m:e>
                  <m:r>
                    <w:rPr>
                      <w:rFonts w:ascii="Cambria Math" w:eastAsia="Cambria Math" w:hAnsi="Cambria Math" w:cs="Arial"/>
                      <w:color w:val="0E101A"/>
                    </w:rPr>
                    <m:t>D</m:t>
                  </m:r>
                </m:e>
                <m:sub>
                  <m:r>
                    <w:rPr>
                      <w:rFonts w:ascii="Cambria Math" w:eastAsia="Cambria Math" w:hAnsi="Cambria Math" w:cs="Arial"/>
                      <w:color w:val="0E101A"/>
                    </w:rPr>
                    <m:t>1</m:t>
                  </m:r>
                </m:sub>
              </m:sSub>
            </m:num>
            <m:den>
              <m:r>
                <w:rPr>
                  <w:rFonts w:ascii="Cambria Math" w:eastAsia="Arial" w:hAnsi="Cambria Math" w:cs="Arial"/>
                  <w:color w:val="0E101A"/>
                </w:rPr>
                <m:t>k-g</m:t>
              </m:r>
            </m:den>
          </m:f>
        </m:oMath>
      </m:oMathPara>
    </w:p>
    <w:p w14:paraId="3641EFC2" w14:textId="77777777" w:rsidR="00C92965" w:rsidRPr="00011A44" w:rsidRDefault="00C92965" w:rsidP="00011A44">
      <w:pPr>
        <w:jc w:val="both"/>
        <w:rPr>
          <w:rFonts w:ascii="Arial" w:eastAsia="Arial" w:hAnsi="Arial" w:cs="Arial"/>
          <w:color w:val="0E101A"/>
        </w:rPr>
      </w:pPr>
    </w:p>
    <w:p w14:paraId="1A97C1F1"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 xml:space="preserve">Nos prévisions indiquent une baisse des taux d'intérêt aussi bien long que court, ce qui entraînerait une </w:t>
      </w:r>
      <w:r w:rsidRPr="00011A44">
        <w:rPr>
          <w:rFonts w:ascii="Arial" w:eastAsia="Arial" w:hAnsi="Arial" w:cs="Arial"/>
          <w:b/>
          <w:color w:val="0E101A"/>
        </w:rPr>
        <w:t xml:space="preserve">diminution du taux d'actualisation, </w:t>
      </w:r>
      <w:r w:rsidRPr="00011A44">
        <w:rPr>
          <w:rFonts w:ascii="Arial" w:eastAsia="Arial" w:hAnsi="Arial" w:cs="Arial"/>
          <w:b/>
          <w:i/>
          <w:color w:val="0E101A"/>
        </w:rPr>
        <w:t>k</w:t>
      </w:r>
      <w:r w:rsidRPr="00011A44">
        <w:rPr>
          <w:rFonts w:ascii="Arial" w:eastAsia="Arial" w:hAnsi="Arial" w:cs="Arial"/>
          <w:color w:val="0E101A"/>
        </w:rPr>
        <w:t xml:space="preserve">. On s'attend également à une amélioration de l'économie, ce qui devrait </w:t>
      </w:r>
      <w:r w:rsidRPr="00011A44">
        <w:rPr>
          <w:rFonts w:ascii="Arial" w:eastAsia="Arial" w:hAnsi="Arial" w:cs="Arial"/>
          <w:b/>
          <w:color w:val="0E101A"/>
        </w:rPr>
        <w:t xml:space="preserve">stimuler la croissance des bénéfices par action, </w:t>
      </w:r>
      <w:r w:rsidRPr="00011A44">
        <w:rPr>
          <w:rFonts w:ascii="Arial" w:eastAsia="Arial" w:hAnsi="Arial" w:cs="Arial"/>
          <w:b/>
          <w:i/>
          <w:color w:val="0E101A"/>
        </w:rPr>
        <w:t>g</w:t>
      </w:r>
      <w:r w:rsidRPr="00011A44">
        <w:rPr>
          <w:rFonts w:ascii="Arial" w:eastAsia="Arial" w:hAnsi="Arial" w:cs="Arial"/>
          <w:color w:val="0E101A"/>
        </w:rPr>
        <w:t xml:space="preserve">. On peut anticiper une </w:t>
      </w:r>
      <w:r w:rsidRPr="00011A44">
        <w:rPr>
          <w:rFonts w:ascii="Arial" w:eastAsia="Arial" w:hAnsi="Arial" w:cs="Arial"/>
          <w:b/>
          <w:color w:val="0E101A"/>
        </w:rPr>
        <w:t>augmentation des prix des actions</w:t>
      </w:r>
      <w:r w:rsidRPr="00011A44">
        <w:rPr>
          <w:rFonts w:ascii="Arial" w:eastAsia="Arial" w:hAnsi="Arial" w:cs="Arial"/>
          <w:color w:val="0E101A"/>
        </w:rPr>
        <w:t xml:space="preserve">, surtout si les dividendes restent constants. Ce phénomène est d'autant plus intéressant lorsque nous comparons les actions américaines et européennes. Les actions américaines sont généralement considérées comme des actions de croissance, reflétant souvent des entreprises plus jeunes, potentiellement plus risquées et </w:t>
      </w:r>
      <w:r w:rsidRPr="00011A44">
        <w:rPr>
          <w:rFonts w:ascii="Arial" w:eastAsia="Arial" w:hAnsi="Arial" w:cs="Arial"/>
          <w:i/>
          <w:color w:val="0E101A"/>
        </w:rPr>
        <w:t>g</w:t>
      </w:r>
      <w:r w:rsidRPr="00011A44">
        <w:rPr>
          <w:rFonts w:ascii="Arial" w:eastAsia="Arial" w:hAnsi="Arial" w:cs="Arial"/>
          <w:color w:val="0E101A"/>
        </w:rPr>
        <w:t xml:space="preserve"> serait potentiellement plus élevées.</w:t>
      </w:r>
    </w:p>
    <w:p w14:paraId="4AF7F392" w14:textId="77777777" w:rsidR="00C92965" w:rsidRPr="00011A44" w:rsidRDefault="00C92965" w:rsidP="00011A44">
      <w:pPr>
        <w:jc w:val="both"/>
        <w:rPr>
          <w:rFonts w:ascii="Arial" w:eastAsia="Arial" w:hAnsi="Arial" w:cs="Arial"/>
          <w:color w:val="0E101A"/>
        </w:rPr>
      </w:pPr>
    </w:p>
    <w:p w14:paraId="25480AA6"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En revanche, les actions européennes tendent à représenter des sociétés plus anciennes, avec moins de risques mais aussi des taux de croissance plus faibles. Cette différence d’effet serait d’autant plus marquée lorsque nous sommes en période de relance.</w:t>
      </w:r>
    </w:p>
    <w:p w14:paraId="57CD3747" w14:textId="77777777" w:rsidR="00C92965" w:rsidRPr="00011A44" w:rsidRDefault="00C92965" w:rsidP="00011A44">
      <w:pPr>
        <w:jc w:val="both"/>
        <w:rPr>
          <w:rFonts w:ascii="Arial" w:eastAsia="Arial" w:hAnsi="Arial" w:cs="Arial"/>
          <w:color w:val="0E101A"/>
        </w:rPr>
      </w:pPr>
    </w:p>
    <w:p w14:paraId="76CE88BD" w14:textId="77777777" w:rsidR="00C92965" w:rsidRPr="00011A44" w:rsidRDefault="00C92965" w:rsidP="00011A44">
      <w:pPr>
        <w:jc w:val="both"/>
        <w:rPr>
          <w:rFonts w:ascii="Arial" w:eastAsia="Arial" w:hAnsi="Arial" w:cs="Arial"/>
          <w:color w:val="0E101A"/>
        </w:rPr>
      </w:pPr>
    </w:p>
    <w:p w14:paraId="6C60B4B7" w14:textId="77777777" w:rsidR="00C92965" w:rsidRPr="00D20D53" w:rsidRDefault="00000000" w:rsidP="00011A44">
      <w:pPr>
        <w:ind w:left="720"/>
        <w:jc w:val="both"/>
        <w:rPr>
          <w:rFonts w:ascii="Arial" w:eastAsia="Arial" w:hAnsi="Arial" w:cs="Arial"/>
          <w:color w:val="0E101A"/>
          <w:sz w:val="26"/>
          <w:szCs w:val="26"/>
        </w:rPr>
      </w:pPr>
      <w:r w:rsidRPr="00D20D53">
        <w:rPr>
          <w:rFonts w:ascii="Arial" w:eastAsia="Arial" w:hAnsi="Arial" w:cs="Arial"/>
          <w:color w:val="0E101A"/>
          <w:sz w:val="26"/>
          <w:szCs w:val="26"/>
        </w:rPr>
        <w:t xml:space="preserve">3. </w:t>
      </w:r>
      <w:r w:rsidRPr="00D20D53">
        <w:rPr>
          <w:rFonts w:ascii="Arial" w:eastAsia="Arial" w:hAnsi="Arial" w:cs="Arial"/>
          <w:color w:val="0E101A"/>
          <w:sz w:val="26"/>
          <w:szCs w:val="26"/>
          <w:u w:val="single"/>
        </w:rPr>
        <w:t>Marché général</w:t>
      </w:r>
      <w:r w:rsidRPr="00D20D53">
        <w:rPr>
          <w:rFonts w:ascii="Arial" w:eastAsia="Arial" w:hAnsi="Arial" w:cs="Arial"/>
          <w:color w:val="0E101A"/>
          <w:sz w:val="26"/>
          <w:szCs w:val="26"/>
        </w:rPr>
        <w:t xml:space="preserve"> :</w:t>
      </w:r>
    </w:p>
    <w:p w14:paraId="5501CCA3" w14:textId="77777777" w:rsidR="00C92965" w:rsidRPr="00011A44" w:rsidRDefault="00C92965" w:rsidP="00011A44">
      <w:pPr>
        <w:jc w:val="both"/>
        <w:rPr>
          <w:rFonts w:ascii="Arial" w:eastAsia="Arial" w:hAnsi="Arial" w:cs="Arial"/>
          <w:color w:val="0E101A"/>
        </w:rPr>
      </w:pPr>
    </w:p>
    <w:p w14:paraId="4114624E"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Il est simple de montrer qu’à risque constant ainsi qu’à versement de “cash” constant (coupons pour les obligations, dividendes pour les actions…). Comme nous prévoyons des taux plus bas, la formule élémentaire de somme des cash-flows actualisés nous indique une hausse du prix de nos actifs.</w:t>
      </w:r>
    </w:p>
    <w:p w14:paraId="460C230D" w14:textId="7A338170" w:rsidR="00C92965" w:rsidRPr="00011A44" w:rsidRDefault="00000000" w:rsidP="00011A44">
      <w:pPr>
        <w:jc w:val="center"/>
        <w:rPr>
          <w:rFonts w:ascii="Arial" w:eastAsia="Arial" w:hAnsi="Arial" w:cs="Arial"/>
          <w:color w:val="0E101A"/>
          <w:sz w:val="36"/>
          <w:szCs w:val="36"/>
        </w:rPr>
      </w:pPr>
      <m:oMath>
        <m:sSub>
          <m:sSubPr>
            <m:ctrlPr>
              <w:rPr>
                <w:rFonts w:ascii="Cambria Math" w:eastAsia="Cambria Math" w:hAnsi="Cambria Math" w:cs="Arial"/>
                <w:color w:val="0E101A"/>
                <w:sz w:val="36"/>
                <w:szCs w:val="36"/>
              </w:rPr>
            </m:ctrlPr>
          </m:sSubPr>
          <m:e>
            <m:r>
              <w:rPr>
                <w:rFonts w:ascii="Cambria Math" w:eastAsia="Cambria Math" w:hAnsi="Cambria Math" w:cs="Arial"/>
                <w:color w:val="0E101A"/>
                <w:sz w:val="36"/>
                <w:szCs w:val="36"/>
              </w:rPr>
              <m:t>P</m:t>
            </m:r>
          </m:e>
          <m:sub>
            <m:r>
              <w:rPr>
                <w:rFonts w:ascii="Cambria Math" w:eastAsia="Cambria Math" w:hAnsi="Cambria Math" w:cs="Arial"/>
                <w:color w:val="0E101A"/>
                <w:sz w:val="36"/>
                <w:szCs w:val="36"/>
              </w:rPr>
              <m:t>0</m:t>
            </m:r>
          </m:sub>
        </m:sSub>
      </m:oMath>
      <w:r w:rsidRPr="00011A44">
        <w:rPr>
          <w:rFonts w:ascii="Arial" w:eastAsia="Arial" w:hAnsi="Arial" w:cs="Arial"/>
          <w:color w:val="0E101A"/>
          <w:sz w:val="36"/>
          <w:szCs w:val="36"/>
        </w:rPr>
        <w:t xml:space="preserve">= </w:t>
      </w:r>
      <m:oMath>
        <m:nary>
          <m:naryPr>
            <m:chr m:val="∑"/>
            <m:ctrlPr>
              <w:rPr>
                <w:rFonts w:ascii="Cambria Math" w:eastAsia="Cambria Math" w:hAnsi="Cambria Math" w:cs="Arial"/>
                <w:color w:val="0E101A"/>
                <w:sz w:val="36"/>
                <w:szCs w:val="36"/>
              </w:rPr>
            </m:ctrlPr>
          </m:naryPr>
          <m:sub>
            <m:r>
              <w:rPr>
                <w:rFonts w:ascii="Cambria Math" w:eastAsia="Cambria Math" w:hAnsi="Cambria Math" w:cs="Arial"/>
                <w:color w:val="0E101A"/>
                <w:sz w:val="36"/>
                <w:szCs w:val="36"/>
              </w:rPr>
              <m:t>t=1</m:t>
            </m:r>
          </m:sub>
          <m:sup>
            <m:r>
              <w:rPr>
                <w:rFonts w:ascii="Cambria Math" w:eastAsia="Cambria Math" w:hAnsi="Cambria Math" w:cs="Arial"/>
                <w:color w:val="0E101A"/>
                <w:sz w:val="36"/>
                <w:szCs w:val="36"/>
              </w:rPr>
              <m:t>∞</m:t>
            </m:r>
          </m:sup>
          <m:e>
            <m:f>
              <m:fPr>
                <m:ctrlPr>
                  <w:rPr>
                    <w:rFonts w:ascii="Cambria Math" w:eastAsia="Cambria Math" w:hAnsi="Cambria Math" w:cs="Arial"/>
                    <w:color w:val="0E101A"/>
                    <w:sz w:val="36"/>
                    <w:szCs w:val="36"/>
                  </w:rPr>
                </m:ctrlPr>
              </m:fPr>
              <m:num>
                <m:sSub>
                  <m:sSubPr>
                    <m:ctrlPr>
                      <w:rPr>
                        <w:rFonts w:ascii="Cambria Math" w:eastAsia="Cambria Math" w:hAnsi="Cambria Math" w:cs="Arial"/>
                        <w:color w:val="0E101A"/>
                        <w:sz w:val="36"/>
                        <w:szCs w:val="36"/>
                      </w:rPr>
                    </m:ctrlPr>
                  </m:sSubPr>
                  <m:e>
                    <m:r>
                      <w:rPr>
                        <w:rFonts w:ascii="Cambria Math" w:eastAsia="Cambria Math" w:hAnsi="Cambria Math" w:cs="Arial"/>
                        <w:color w:val="0E101A"/>
                        <w:sz w:val="36"/>
                        <w:szCs w:val="36"/>
                      </w:rPr>
                      <m:t>D</m:t>
                    </m:r>
                  </m:e>
                  <m:sub>
                    <m:r>
                      <w:rPr>
                        <w:rFonts w:ascii="Cambria Math" w:eastAsia="Cambria Math" w:hAnsi="Cambria Math" w:cs="Arial"/>
                        <w:color w:val="0E101A"/>
                        <w:sz w:val="36"/>
                        <w:szCs w:val="36"/>
                      </w:rPr>
                      <m:t>t</m:t>
                    </m:r>
                  </m:sub>
                </m:sSub>
              </m:num>
              <m:den>
                <m:sSup>
                  <m:sSupPr>
                    <m:ctrlPr>
                      <w:rPr>
                        <w:rFonts w:ascii="Cambria Math" w:eastAsia="Cambria Math" w:hAnsi="Cambria Math" w:cs="Arial"/>
                        <w:color w:val="0E101A"/>
                        <w:sz w:val="36"/>
                        <w:szCs w:val="36"/>
                      </w:rPr>
                    </m:ctrlPr>
                  </m:sSupPr>
                  <m:e>
                    <m:r>
                      <w:rPr>
                        <w:rFonts w:ascii="Cambria Math" w:eastAsia="Cambria Math" w:hAnsi="Cambria Math" w:cs="Arial"/>
                        <w:color w:val="0E101A"/>
                        <w:sz w:val="36"/>
                        <w:szCs w:val="36"/>
                      </w:rPr>
                      <m:t>(1+k)</m:t>
                    </m:r>
                  </m:e>
                  <m:sup>
                    <m:r>
                      <w:rPr>
                        <w:rFonts w:ascii="Cambria Math" w:eastAsia="Cambria Math" w:hAnsi="Cambria Math" w:cs="Arial"/>
                        <w:color w:val="0E101A"/>
                        <w:sz w:val="36"/>
                        <w:szCs w:val="36"/>
                      </w:rPr>
                      <m:t>t</m:t>
                    </m:r>
                  </m:sup>
                </m:sSup>
              </m:den>
            </m:f>
          </m:e>
        </m:nary>
      </m:oMath>
    </w:p>
    <w:p w14:paraId="5AA985F5" w14:textId="77777777" w:rsidR="00C92965" w:rsidRPr="00011A44" w:rsidRDefault="00000000" w:rsidP="00011A44">
      <w:pPr>
        <w:jc w:val="both"/>
        <w:rPr>
          <w:rFonts w:ascii="Arial" w:eastAsia="Arial" w:hAnsi="Arial" w:cs="Arial"/>
          <w:color w:val="0E101A"/>
          <w:sz w:val="28"/>
          <w:szCs w:val="28"/>
          <w:u w:val="single"/>
        </w:rPr>
      </w:pPr>
      <w:r w:rsidRPr="00011A44">
        <w:rPr>
          <w:rFonts w:ascii="Arial" w:hAnsi="Arial" w:cs="Arial"/>
        </w:rPr>
        <w:br w:type="page"/>
      </w:r>
    </w:p>
    <w:p w14:paraId="3484F8D9" w14:textId="77777777" w:rsidR="00C92965" w:rsidRPr="00011A44" w:rsidRDefault="00C92965" w:rsidP="00011A44">
      <w:pPr>
        <w:jc w:val="both"/>
        <w:rPr>
          <w:rFonts w:ascii="Arial" w:eastAsia="Arial" w:hAnsi="Arial" w:cs="Arial"/>
          <w:color w:val="0E101A"/>
          <w:sz w:val="28"/>
          <w:szCs w:val="28"/>
          <w:u w:val="single"/>
        </w:rPr>
      </w:pPr>
    </w:p>
    <w:p w14:paraId="6C4B656F" w14:textId="77777777" w:rsidR="00C92965" w:rsidRPr="00011A44" w:rsidRDefault="00000000" w:rsidP="00011A44">
      <w:pPr>
        <w:numPr>
          <w:ilvl w:val="0"/>
          <w:numId w:val="8"/>
        </w:numPr>
        <w:pBdr>
          <w:top w:val="nil"/>
          <w:left w:val="nil"/>
          <w:bottom w:val="nil"/>
          <w:right w:val="nil"/>
          <w:between w:val="nil"/>
        </w:pBdr>
        <w:jc w:val="both"/>
        <w:rPr>
          <w:rFonts w:ascii="Arial" w:eastAsia="Arial" w:hAnsi="Arial" w:cs="Arial"/>
          <w:b/>
          <w:color w:val="0E101A"/>
          <w:sz w:val="28"/>
          <w:szCs w:val="28"/>
        </w:rPr>
      </w:pPr>
      <w:r w:rsidRPr="00011A44">
        <w:rPr>
          <w:rFonts w:ascii="Arial" w:eastAsia="Arial" w:hAnsi="Arial" w:cs="Arial"/>
          <w:b/>
          <w:color w:val="0E101A"/>
          <w:sz w:val="28"/>
          <w:szCs w:val="28"/>
          <w:u w:val="single"/>
        </w:rPr>
        <w:t xml:space="preserve">Proposition d’allocation d’actif : </w:t>
      </w:r>
    </w:p>
    <w:p w14:paraId="237F53E7" w14:textId="77777777" w:rsidR="00C92965" w:rsidRPr="00011A44" w:rsidRDefault="00C92965" w:rsidP="00011A44">
      <w:pPr>
        <w:pBdr>
          <w:top w:val="nil"/>
          <w:left w:val="nil"/>
          <w:bottom w:val="nil"/>
          <w:right w:val="nil"/>
          <w:between w:val="nil"/>
        </w:pBdr>
        <w:ind w:left="360"/>
        <w:jc w:val="both"/>
        <w:rPr>
          <w:rFonts w:ascii="Arial" w:eastAsia="Arial" w:hAnsi="Arial" w:cs="Arial"/>
          <w:b/>
          <w:color w:val="0E101A"/>
        </w:rPr>
      </w:pPr>
    </w:p>
    <w:p w14:paraId="66C29311" w14:textId="77777777" w:rsidR="00C92965" w:rsidRPr="00D20D53" w:rsidRDefault="00000000" w:rsidP="00011A44">
      <w:pPr>
        <w:numPr>
          <w:ilvl w:val="0"/>
          <w:numId w:val="3"/>
        </w:numPr>
        <w:pBdr>
          <w:top w:val="nil"/>
          <w:left w:val="nil"/>
          <w:bottom w:val="nil"/>
          <w:right w:val="nil"/>
          <w:between w:val="nil"/>
        </w:pBdr>
        <w:jc w:val="both"/>
        <w:rPr>
          <w:rFonts w:ascii="Arial" w:eastAsia="Arial" w:hAnsi="Arial" w:cs="Arial"/>
          <w:color w:val="0E101A"/>
          <w:sz w:val="26"/>
          <w:szCs w:val="26"/>
        </w:rPr>
      </w:pPr>
      <w:r w:rsidRPr="00D20D53">
        <w:rPr>
          <w:rFonts w:ascii="Arial" w:eastAsia="Arial" w:hAnsi="Arial" w:cs="Arial"/>
          <w:color w:val="0E101A"/>
          <w:sz w:val="26"/>
          <w:szCs w:val="26"/>
          <w:u w:val="single"/>
        </w:rPr>
        <w:t>Tableau d’allocation</w:t>
      </w:r>
      <w:r w:rsidRPr="00D20D53">
        <w:rPr>
          <w:rFonts w:ascii="Arial" w:eastAsia="Arial" w:hAnsi="Arial" w:cs="Arial"/>
          <w:color w:val="0E101A"/>
          <w:sz w:val="26"/>
          <w:szCs w:val="26"/>
        </w:rPr>
        <w:t> :</w:t>
      </w:r>
    </w:p>
    <w:p w14:paraId="5190DE53" w14:textId="77777777" w:rsidR="00C92965" w:rsidRPr="00011A44" w:rsidRDefault="00C92965" w:rsidP="00011A44">
      <w:pPr>
        <w:jc w:val="both"/>
        <w:rPr>
          <w:rFonts w:ascii="Arial" w:hAnsi="Arial" w:cs="Arial"/>
          <w:color w:val="0E101A"/>
          <w:sz w:val="28"/>
          <w:szCs w:val="28"/>
        </w:rPr>
      </w:pPr>
    </w:p>
    <w:tbl>
      <w:tblPr>
        <w:tblStyle w:val="a0"/>
        <w:tblW w:w="90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45"/>
        <w:gridCol w:w="3285"/>
      </w:tblGrid>
      <w:tr w:rsidR="00C92965" w:rsidRPr="00011A44" w14:paraId="3254BB85" w14:textId="77777777">
        <w:trPr>
          <w:jc w:val="center"/>
        </w:trPr>
        <w:tc>
          <w:tcPr>
            <w:tcW w:w="5745" w:type="dxa"/>
          </w:tcPr>
          <w:p w14:paraId="3DADE640" w14:textId="77777777" w:rsidR="00C92965" w:rsidRPr="00011A44" w:rsidRDefault="00000000" w:rsidP="00011A44">
            <w:pPr>
              <w:jc w:val="center"/>
              <w:rPr>
                <w:rFonts w:ascii="Arial" w:eastAsia="Arial" w:hAnsi="Arial" w:cs="Arial"/>
                <w:b/>
                <w:color w:val="0E101A"/>
              </w:rPr>
            </w:pPr>
            <w:r w:rsidRPr="00011A44">
              <w:rPr>
                <w:rFonts w:ascii="Arial" w:eastAsia="Arial" w:hAnsi="Arial" w:cs="Arial"/>
                <w:b/>
                <w:color w:val="0E101A"/>
              </w:rPr>
              <w:t>Actifs</w:t>
            </w:r>
          </w:p>
        </w:tc>
        <w:tc>
          <w:tcPr>
            <w:tcW w:w="3285" w:type="dxa"/>
          </w:tcPr>
          <w:p w14:paraId="536705C2" w14:textId="77777777" w:rsidR="00C92965" w:rsidRPr="00011A44" w:rsidRDefault="00000000" w:rsidP="00011A44">
            <w:pPr>
              <w:jc w:val="center"/>
              <w:rPr>
                <w:rFonts w:ascii="Arial" w:eastAsia="Arial" w:hAnsi="Arial" w:cs="Arial"/>
                <w:b/>
                <w:color w:val="0E101A"/>
              </w:rPr>
            </w:pPr>
            <w:r w:rsidRPr="00011A44">
              <w:rPr>
                <w:rFonts w:ascii="Arial" w:eastAsia="Arial" w:hAnsi="Arial" w:cs="Arial"/>
                <w:b/>
                <w:color w:val="0E101A"/>
              </w:rPr>
              <w:t>Allocation</w:t>
            </w:r>
          </w:p>
        </w:tc>
      </w:tr>
      <w:tr w:rsidR="00C92965" w:rsidRPr="00011A44" w14:paraId="0C57B165" w14:textId="77777777">
        <w:trPr>
          <w:jc w:val="center"/>
        </w:trPr>
        <w:tc>
          <w:tcPr>
            <w:tcW w:w="5745" w:type="dxa"/>
          </w:tcPr>
          <w:p w14:paraId="77AAA133"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Actions US (SPX Index)</w:t>
            </w:r>
          </w:p>
        </w:tc>
        <w:tc>
          <w:tcPr>
            <w:tcW w:w="3285" w:type="dxa"/>
          </w:tcPr>
          <w:p w14:paraId="67F71118"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15,00%</w:t>
            </w:r>
          </w:p>
        </w:tc>
      </w:tr>
      <w:tr w:rsidR="00C92965" w:rsidRPr="00011A44" w14:paraId="505AA1A7" w14:textId="77777777">
        <w:trPr>
          <w:jc w:val="center"/>
        </w:trPr>
        <w:tc>
          <w:tcPr>
            <w:tcW w:w="5745" w:type="dxa"/>
          </w:tcPr>
          <w:p w14:paraId="1B3D23D8"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Actions Euro (SX5E Index)</w:t>
            </w:r>
          </w:p>
        </w:tc>
        <w:tc>
          <w:tcPr>
            <w:tcW w:w="3285" w:type="dxa"/>
          </w:tcPr>
          <w:p w14:paraId="1394D922"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10,00%</w:t>
            </w:r>
          </w:p>
        </w:tc>
      </w:tr>
      <w:tr w:rsidR="00C92965" w:rsidRPr="00011A44" w14:paraId="589B71F8" w14:textId="77777777">
        <w:trPr>
          <w:jc w:val="center"/>
        </w:trPr>
        <w:tc>
          <w:tcPr>
            <w:tcW w:w="5745" w:type="dxa"/>
          </w:tcPr>
          <w:p w14:paraId="3FF85544"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 xml:space="preserve">Taux long US 10 ans </w:t>
            </w:r>
            <w:r w:rsidRPr="00011A44">
              <w:rPr>
                <w:rFonts w:ascii="Arial" w:eastAsia="Arial" w:hAnsi="Arial" w:cs="Arial"/>
              </w:rPr>
              <w:t xml:space="preserve">(USGG10YR Index) </w:t>
            </w:r>
          </w:p>
        </w:tc>
        <w:tc>
          <w:tcPr>
            <w:tcW w:w="3285" w:type="dxa"/>
          </w:tcPr>
          <w:p w14:paraId="34EBE420"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7,50%</w:t>
            </w:r>
          </w:p>
        </w:tc>
      </w:tr>
      <w:tr w:rsidR="00C92965" w:rsidRPr="00011A44" w14:paraId="6F613EA5" w14:textId="77777777">
        <w:trPr>
          <w:jc w:val="center"/>
        </w:trPr>
        <w:tc>
          <w:tcPr>
            <w:tcW w:w="5745" w:type="dxa"/>
          </w:tcPr>
          <w:p w14:paraId="5E7028D5"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 xml:space="preserve">Taux court US 2 ans </w:t>
            </w:r>
            <w:r w:rsidRPr="00011A44">
              <w:rPr>
                <w:rFonts w:ascii="Arial" w:eastAsia="Arial" w:hAnsi="Arial" w:cs="Arial"/>
              </w:rPr>
              <w:t xml:space="preserve">(USGG2YR Index) </w:t>
            </w:r>
          </w:p>
        </w:tc>
        <w:tc>
          <w:tcPr>
            <w:tcW w:w="3285" w:type="dxa"/>
          </w:tcPr>
          <w:p w14:paraId="0FDB693F"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22,50%</w:t>
            </w:r>
          </w:p>
        </w:tc>
      </w:tr>
      <w:tr w:rsidR="00C92965" w:rsidRPr="00011A44" w14:paraId="006D654C" w14:textId="77777777">
        <w:trPr>
          <w:jc w:val="center"/>
        </w:trPr>
        <w:tc>
          <w:tcPr>
            <w:tcW w:w="5745" w:type="dxa"/>
          </w:tcPr>
          <w:p w14:paraId="00AD38F4"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Taux longs Allemands (GDBR10 Index)</w:t>
            </w:r>
          </w:p>
        </w:tc>
        <w:tc>
          <w:tcPr>
            <w:tcW w:w="3285" w:type="dxa"/>
          </w:tcPr>
          <w:p w14:paraId="106EA99B"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5,00%</w:t>
            </w:r>
          </w:p>
        </w:tc>
      </w:tr>
      <w:tr w:rsidR="00C92965" w:rsidRPr="00011A44" w14:paraId="3681CD67" w14:textId="77777777">
        <w:trPr>
          <w:jc w:val="center"/>
        </w:trPr>
        <w:tc>
          <w:tcPr>
            <w:tcW w:w="5745" w:type="dxa"/>
          </w:tcPr>
          <w:p w14:paraId="7FD3C63F"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Taux courts Allemands (GDBR2 Index)</w:t>
            </w:r>
          </w:p>
        </w:tc>
        <w:tc>
          <w:tcPr>
            <w:tcW w:w="3285" w:type="dxa"/>
          </w:tcPr>
          <w:p w14:paraId="7A6958D5"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17,50%</w:t>
            </w:r>
          </w:p>
        </w:tc>
      </w:tr>
      <w:tr w:rsidR="00C92965" w:rsidRPr="00011A44" w14:paraId="0E5BC363" w14:textId="77777777">
        <w:trPr>
          <w:jc w:val="center"/>
        </w:trPr>
        <w:tc>
          <w:tcPr>
            <w:tcW w:w="5745" w:type="dxa"/>
          </w:tcPr>
          <w:p w14:paraId="2CB1C328" w14:textId="77777777" w:rsidR="00C92965" w:rsidRPr="00011A44" w:rsidRDefault="00000000" w:rsidP="00011A44">
            <w:pPr>
              <w:jc w:val="center"/>
              <w:rPr>
                <w:rFonts w:ascii="Arial" w:eastAsia="Arial" w:hAnsi="Arial" w:cs="Arial"/>
                <w:color w:val="0E101A"/>
              </w:rPr>
            </w:pPr>
            <w:r w:rsidRPr="00011A44">
              <w:rPr>
                <w:rFonts w:ascii="Arial" w:eastAsia="Arial" w:hAnsi="Arial" w:cs="Arial"/>
              </w:rPr>
              <w:t>Taux longs Français (GFRN10 Index)</w:t>
            </w:r>
          </w:p>
        </w:tc>
        <w:tc>
          <w:tcPr>
            <w:tcW w:w="3285" w:type="dxa"/>
          </w:tcPr>
          <w:p w14:paraId="3A98AE19"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12,50%</w:t>
            </w:r>
          </w:p>
        </w:tc>
      </w:tr>
      <w:tr w:rsidR="00C92965" w:rsidRPr="00011A44" w14:paraId="783C670E" w14:textId="77777777">
        <w:trPr>
          <w:jc w:val="center"/>
        </w:trPr>
        <w:tc>
          <w:tcPr>
            <w:tcW w:w="5745" w:type="dxa"/>
          </w:tcPr>
          <w:p w14:paraId="71635952" w14:textId="77777777" w:rsidR="00C92965" w:rsidRPr="00011A44" w:rsidRDefault="00000000" w:rsidP="00011A44">
            <w:pPr>
              <w:jc w:val="center"/>
              <w:rPr>
                <w:rFonts w:ascii="Arial" w:eastAsia="Arial" w:hAnsi="Arial" w:cs="Arial"/>
                <w:color w:val="0E101A"/>
              </w:rPr>
            </w:pPr>
            <w:r w:rsidRPr="00011A44">
              <w:rPr>
                <w:rFonts w:ascii="Arial" w:eastAsia="Arial" w:hAnsi="Arial" w:cs="Arial"/>
              </w:rPr>
              <w:t>Marché monétaire EURO (ESTRON Index)</w:t>
            </w:r>
          </w:p>
        </w:tc>
        <w:tc>
          <w:tcPr>
            <w:tcW w:w="3285" w:type="dxa"/>
          </w:tcPr>
          <w:p w14:paraId="0B668D03" w14:textId="77777777" w:rsidR="00C92965" w:rsidRPr="00011A44" w:rsidRDefault="00000000" w:rsidP="00011A44">
            <w:pPr>
              <w:jc w:val="center"/>
              <w:rPr>
                <w:rFonts w:ascii="Arial" w:eastAsia="Arial" w:hAnsi="Arial" w:cs="Arial"/>
                <w:color w:val="0E101A"/>
              </w:rPr>
            </w:pPr>
            <w:r w:rsidRPr="00011A44">
              <w:rPr>
                <w:rFonts w:ascii="Arial" w:eastAsia="Arial" w:hAnsi="Arial" w:cs="Arial"/>
                <w:color w:val="0E101A"/>
              </w:rPr>
              <w:t>10,00%</w:t>
            </w:r>
          </w:p>
        </w:tc>
      </w:tr>
    </w:tbl>
    <w:p w14:paraId="404A826A" w14:textId="77777777" w:rsidR="00C92965" w:rsidRPr="00011A44" w:rsidRDefault="00C92965" w:rsidP="00011A44">
      <w:pPr>
        <w:jc w:val="both"/>
        <w:rPr>
          <w:rFonts w:ascii="Arial" w:eastAsia="Arial" w:hAnsi="Arial" w:cs="Arial"/>
          <w:color w:val="0E101A"/>
        </w:rPr>
      </w:pPr>
    </w:p>
    <w:p w14:paraId="0579FFF1" w14:textId="77777777" w:rsidR="00C92965" w:rsidRPr="00D20D53" w:rsidRDefault="00000000" w:rsidP="00011A44">
      <w:pPr>
        <w:numPr>
          <w:ilvl w:val="0"/>
          <w:numId w:val="3"/>
        </w:numPr>
        <w:pBdr>
          <w:top w:val="nil"/>
          <w:left w:val="nil"/>
          <w:bottom w:val="nil"/>
          <w:right w:val="nil"/>
          <w:between w:val="nil"/>
        </w:pBdr>
        <w:jc w:val="both"/>
        <w:rPr>
          <w:rFonts w:ascii="Arial" w:eastAsia="Arial" w:hAnsi="Arial" w:cs="Arial"/>
          <w:color w:val="0E101A"/>
          <w:sz w:val="26"/>
          <w:szCs w:val="26"/>
        </w:rPr>
      </w:pPr>
      <w:r w:rsidRPr="00D20D53">
        <w:rPr>
          <w:rFonts w:ascii="Arial" w:eastAsia="Arial" w:hAnsi="Arial" w:cs="Arial"/>
          <w:color w:val="0E101A"/>
          <w:sz w:val="26"/>
          <w:szCs w:val="26"/>
          <w:u w:val="single"/>
        </w:rPr>
        <w:t>Commentaires de l’allocation</w:t>
      </w:r>
      <w:r w:rsidRPr="00D20D53">
        <w:rPr>
          <w:rFonts w:ascii="Arial" w:eastAsia="Arial" w:hAnsi="Arial" w:cs="Arial"/>
          <w:color w:val="0E101A"/>
          <w:sz w:val="26"/>
          <w:szCs w:val="26"/>
        </w:rPr>
        <w:t> :</w:t>
      </w:r>
    </w:p>
    <w:p w14:paraId="345C7574" w14:textId="77777777" w:rsidR="00C92965" w:rsidRPr="00011A44" w:rsidRDefault="00C92965" w:rsidP="00011A44">
      <w:pPr>
        <w:jc w:val="both"/>
        <w:rPr>
          <w:rFonts w:ascii="Arial" w:eastAsia="Arial" w:hAnsi="Arial" w:cs="Arial"/>
          <w:color w:val="0E101A"/>
        </w:rPr>
      </w:pPr>
    </w:p>
    <w:p w14:paraId="5A129FC2" w14:textId="77777777" w:rsidR="00C92965" w:rsidRPr="00011A44" w:rsidRDefault="00000000" w:rsidP="00011A44">
      <w:pPr>
        <w:jc w:val="both"/>
        <w:rPr>
          <w:rFonts w:ascii="Arial" w:eastAsia="Arial" w:hAnsi="Arial" w:cs="Arial"/>
          <w:i/>
          <w:color w:val="0E101A"/>
        </w:rPr>
      </w:pPr>
      <w:sdt>
        <w:sdtPr>
          <w:rPr>
            <w:rFonts w:ascii="Arial" w:hAnsi="Arial" w:cs="Arial"/>
          </w:rPr>
          <w:tag w:val="goog_rdk_0"/>
          <w:id w:val="-1858576597"/>
        </w:sdtPr>
        <w:sdtContent>
          <w:r w:rsidRPr="00011A44">
            <w:rPr>
              <w:rFonts w:ascii="Arial" w:eastAsia="Arial Unicode MS" w:hAnsi="Arial" w:cs="Arial"/>
              <w:i/>
              <w:color w:val="0E101A"/>
            </w:rPr>
            <w:t>Marché monétaire (12,5% → 10%) :</w:t>
          </w:r>
        </w:sdtContent>
      </w:sdt>
    </w:p>
    <w:p w14:paraId="1787AD4C" w14:textId="77777777" w:rsidR="00C92965" w:rsidRPr="00011A44" w:rsidRDefault="00C92965" w:rsidP="00011A44">
      <w:pPr>
        <w:jc w:val="both"/>
        <w:rPr>
          <w:rFonts w:ascii="Arial" w:eastAsia="Arial" w:hAnsi="Arial" w:cs="Arial"/>
          <w:color w:val="0E101A"/>
        </w:rPr>
      </w:pPr>
    </w:p>
    <w:p w14:paraId="4D0C23E4" w14:textId="2DF37C2B" w:rsidR="008D7E70" w:rsidRPr="00011A44" w:rsidRDefault="00000000" w:rsidP="00011A44">
      <w:pPr>
        <w:jc w:val="both"/>
        <w:rPr>
          <w:rFonts w:ascii="Arial" w:eastAsia="Arial" w:hAnsi="Arial" w:cs="Arial"/>
          <w:color w:val="0E101A"/>
        </w:rPr>
      </w:pPr>
      <w:r w:rsidRPr="00011A44">
        <w:rPr>
          <w:rFonts w:ascii="Arial" w:eastAsia="Arial" w:hAnsi="Arial" w:cs="Arial"/>
          <w:color w:val="0E101A"/>
        </w:rPr>
        <w:t>Concernant la partie marché monétaire, nous utiliserons cet actif comme un instrument de liquidité permettant de rebalancer nos positions, néanmoins son rendement reste intéressant dans le contexte de taux élevé</w:t>
      </w:r>
      <w:r w:rsidR="008D7E70">
        <w:rPr>
          <w:rFonts w:ascii="Arial" w:eastAsia="Arial" w:hAnsi="Arial" w:cs="Arial"/>
          <w:color w:val="0E101A"/>
        </w:rPr>
        <w:t xml:space="preserve"> mais le sera moins dans le cas d’u</w:t>
      </w:r>
      <w:r w:rsidR="00B7479A">
        <w:rPr>
          <w:rFonts w:ascii="Arial" w:eastAsia="Arial" w:hAnsi="Arial" w:cs="Arial"/>
          <w:color w:val="0E101A"/>
        </w:rPr>
        <w:t xml:space="preserve">n </w:t>
      </w:r>
      <w:r w:rsidR="008D7E70">
        <w:rPr>
          <w:rFonts w:ascii="Arial" w:eastAsia="Arial" w:hAnsi="Arial" w:cs="Arial"/>
          <w:color w:val="0E101A"/>
        </w:rPr>
        <w:t>scenario de baisse des taux courts le marché monétaire étant un marché très court terme.</w:t>
      </w:r>
    </w:p>
    <w:p w14:paraId="3CCDD56D" w14:textId="77777777" w:rsidR="00C92965" w:rsidRPr="00011A44" w:rsidRDefault="00C92965" w:rsidP="00011A44">
      <w:pPr>
        <w:jc w:val="both"/>
        <w:rPr>
          <w:rFonts w:ascii="Arial" w:eastAsia="Arial" w:hAnsi="Arial" w:cs="Arial"/>
          <w:color w:val="0E101A"/>
        </w:rPr>
      </w:pPr>
    </w:p>
    <w:p w14:paraId="3F817AB5" w14:textId="77777777" w:rsidR="00C92965" w:rsidRPr="00011A44" w:rsidRDefault="00000000" w:rsidP="00011A44">
      <w:pPr>
        <w:jc w:val="both"/>
        <w:rPr>
          <w:rFonts w:ascii="Arial" w:eastAsia="Arial" w:hAnsi="Arial" w:cs="Arial"/>
          <w:i/>
          <w:color w:val="0E101A"/>
        </w:rPr>
      </w:pPr>
      <w:sdt>
        <w:sdtPr>
          <w:rPr>
            <w:rFonts w:ascii="Arial" w:hAnsi="Arial" w:cs="Arial"/>
          </w:rPr>
          <w:tag w:val="goog_rdk_1"/>
          <w:id w:val="1506005732"/>
        </w:sdtPr>
        <w:sdtContent>
          <w:r w:rsidRPr="00011A44">
            <w:rPr>
              <w:rFonts w:ascii="Arial" w:eastAsia="Arial Unicode MS" w:hAnsi="Arial" w:cs="Arial"/>
              <w:i/>
              <w:color w:val="0E101A"/>
            </w:rPr>
            <w:t>Taux courts (25% → 40%) :</w:t>
          </w:r>
        </w:sdtContent>
      </w:sdt>
    </w:p>
    <w:p w14:paraId="654D4FDD" w14:textId="77777777" w:rsidR="00C92965" w:rsidRPr="00011A44" w:rsidRDefault="00C92965" w:rsidP="00011A44">
      <w:pPr>
        <w:jc w:val="both"/>
        <w:rPr>
          <w:rFonts w:ascii="Arial" w:eastAsia="Arial" w:hAnsi="Arial" w:cs="Arial"/>
          <w:color w:val="0E101A"/>
        </w:rPr>
      </w:pPr>
    </w:p>
    <w:p w14:paraId="61FDB084"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Les rendements des taux courts étant amenés à fortement baisser, nous devons “profiter” du temps restant avec des rendements intéressant à court terme en diminuant la duration de notre portefeuille, ainsi nous pensons qu’il faut y allouer une grande partie de notre allocation. L’allocation géographique sur les taux courts est liée aux spreads de taux entre l’Allemagne et les US. Dans une perspective de reprise économique ces spreads ont diminué ce qui rend les taux US plus intéressants et relativement moins risqués (malgré un risque de dégradation de note) qu’avant ce qui explique cette surpondération par rapport à la dette allemande.</w:t>
      </w:r>
    </w:p>
    <w:p w14:paraId="5C69B2FC" w14:textId="77777777" w:rsidR="00C92965" w:rsidRPr="00011A44" w:rsidRDefault="00C92965" w:rsidP="00011A44">
      <w:pPr>
        <w:jc w:val="both"/>
        <w:rPr>
          <w:rFonts w:ascii="Arial" w:eastAsia="Arial" w:hAnsi="Arial" w:cs="Arial"/>
          <w:color w:val="0E101A"/>
        </w:rPr>
      </w:pPr>
    </w:p>
    <w:p w14:paraId="5E045120" w14:textId="77777777" w:rsidR="00C92965" w:rsidRPr="00011A44" w:rsidRDefault="00000000" w:rsidP="00011A44">
      <w:pPr>
        <w:jc w:val="both"/>
        <w:rPr>
          <w:rFonts w:ascii="Arial" w:eastAsia="Arial" w:hAnsi="Arial" w:cs="Arial"/>
          <w:i/>
          <w:color w:val="0E101A"/>
        </w:rPr>
      </w:pPr>
      <w:sdt>
        <w:sdtPr>
          <w:rPr>
            <w:rFonts w:ascii="Arial" w:hAnsi="Arial" w:cs="Arial"/>
          </w:rPr>
          <w:tag w:val="goog_rdk_2"/>
          <w:id w:val="-386339520"/>
        </w:sdtPr>
        <w:sdtContent>
          <w:r w:rsidRPr="00011A44">
            <w:rPr>
              <w:rFonts w:ascii="Arial" w:eastAsia="Arial Unicode MS" w:hAnsi="Arial" w:cs="Arial"/>
              <w:i/>
              <w:color w:val="0E101A"/>
            </w:rPr>
            <w:t xml:space="preserve">Taux longs (37,5% → 25%) :  </w:t>
          </w:r>
        </w:sdtContent>
      </w:sdt>
    </w:p>
    <w:p w14:paraId="66A921D3" w14:textId="77777777" w:rsidR="00C92965" w:rsidRPr="00011A44" w:rsidRDefault="00C92965" w:rsidP="00011A44">
      <w:pPr>
        <w:jc w:val="both"/>
        <w:rPr>
          <w:rFonts w:ascii="Arial" w:eastAsia="Arial" w:hAnsi="Arial" w:cs="Arial"/>
          <w:color w:val="0E101A"/>
        </w:rPr>
      </w:pPr>
    </w:p>
    <w:p w14:paraId="01837665"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Sur les taux longs nous anticipons une stabilité ou au maximum une légère baisse des taux ce qui les rend relativement moins intéressants que les taux courts et explique cette baisse d’allocation.</w:t>
      </w:r>
    </w:p>
    <w:p w14:paraId="2B61B2E5"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L’allocation géographique sur les taux longs et encore lié aux spreads de taux qui dans une perspective de reprise économique rendent les obligations les plus risquées les plus intéressantes.</w:t>
      </w:r>
    </w:p>
    <w:p w14:paraId="5E18C97E" w14:textId="77777777" w:rsidR="00C92965" w:rsidRPr="00011A44" w:rsidRDefault="00C92965" w:rsidP="00011A44">
      <w:pPr>
        <w:jc w:val="both"/>
        <w:rPr>
          <w:rFonts w:ascii="Arial" w:eastAsia="Arial" w:hAnsi="Arial" w:cs="Arial"/>
          <w:color w:val="0E101A"/>
        </w:rPr>
      </w:pPr>
    </w:p>
    <w:p w14:paraId="77F6C4FE" w14:textId="77777777" w:rsidR="00C92965" w:rsidRPr="00011A44" w:rsidRDefault="00000000" w:rsidP="00011A44">
      <w:pPr>
        <w:jc w:val="both"/>
        <w:rPr>
          <w:rFonts w:ascii="Arial" w:eastAsia="Arial" w:hAnsi="Arial" w:cs="Arial"/>
          <w:i/>
          <w:color w:val="0E101A"/>
        </w:rPr>
      </w:pPr>
      <w:sdt>
        <w:sdtPr>
          <w:rPr>
            <w:rFonts w:ascii="Arial" w:hAnsi="Arial" w:cs="Arial"/>
          </w:rPr>
          <w:tag w:val="goog_rdk_3"/>
          <w:id w:val="767439635"/>
        </w:sdtPr>
        <w:sdtContent>
          <w:r w:rsidRPr="00011A44">
            <w:rPr>
              <w:rFonts w:ascii="Arial" w:eastAsia="Arial Unicode MS" w:hAnsi="Arial" w:cs="Arial"/>
              <w:i/>
              <w:color w:val="0E101A"/>
            </w:rPr>
            <w:t xml:space="preserve">Marché action (25%→ 25%) : </w:t>
          </w:r>
        </w:sdtContent>
      </w:sdt>
    </w:p>
    <w:p w14:paraId="50F0411A" w14:textId="77777777" w:rsidR="00C92965" w:rsidRPr="00011A44" w:rsidRDefault="00C92965" w:rsidP="00011A44">
      <w:pPr>
        <w:jc w:val="both"/>
        <w:rPr>
          <w:rFonts w:ascii="Arial" w:eastAsia="Arial" w:hAnsi="Arial" w:cs="Arial"/>
          <w:i/>
          <w:color w:val="0E101A"/>
        </w:rPr>
      </w:pPr>
    </w:p>
    <w:p w14:paraId="2BFE73F7" w14:textId="77777777" w:rsidR="00C92965" w:rsidRPr="00011A44" w:rsidRDefault="00000000" w:rsidP="00011A44">
      <w:pPr>
        <w:jc w:val="both"/>
        <w:rPr>
          <w:rFonts w:ascii="Arial" w:eastAsia="Arial" w:hAnsi="Arial" w:cs="Arial"/>
          <w:color w:val="0E101A"/>
        </w:rPr>
      </w:pPr>
      <w:r w:rsidRPr="00011A44">
        <w:rPr>
          <w:rFonts w:ascii="Arial" w:eastAsia="Arial" w:hAnsi="Arial" w:cs="Arial"/>
          <w:color w:val="0E101A"/>
        </w:rPr>
        <w:t>Pour le marché des actions, notre décision a été de maintenir la pondération actuelle des actions. Cette stratégie reflète notre préférence pour nous concentrer davantage sur le segment des taux courts. Dans le contexte de relance économique, nous estimons qu'il est judicieux de privilégier les actions à fort potentiel de croissance. Les actions américaines semblent donc particulièrement attractives dans cette phase de relance. En revanche, bien que les actions européennes puissent offrir plus de stabilité, leur potentiel de croissance pourrait être moins marqué en comparaison.</w:t>
      </w:r>
    </w:p>
    <w:p w14:paraId="7B094A25" w14:textId="77777777" w:rsidR="00C92965" w:rsidRDefault="00C92965">
      <w:pPr>
        <w:rPr>
          <w:rFonts w:ascii="Arial" w:eastAsia="Arial" w:hAnsi="Arial" w:cs="Arial"/>
          <w:color w:val="0E101A"/>
        </w:rPr>
      </w:pPr>
    </w:p>
    <w:p w14:paraId="73FD993C" w14:textId="77777777" w:rsidR="008D7E70" w:rsidRDefault="008D7E70">
      <w:pPr>
        <w:rPr>
          <w:rFonts w:ascii="Arial" w:eastAsia="Arial" w:hAnsi="Arial" w:cs="Arial"/>
          <w:color w:val="0E101A"/>
          <w:sz w:val="28"/>
          <w:szCs w:val="28"/>
        </w:rPr>
      </w:pPr>
    </w:p>
    <w:p w14:paraId="2E6E76B6" w14:textId="77777777" w:rsidR="00C92965" w:rsidRDefault="00C92965">
      <w:pPr>
        <w:rPr>
          <w:rFonts w:ascii="Arial" w:eastAsia="Arial" w:hAnsi="Arial" w:cs="Arial"/>
          <w:color w:val="0E101A"/>
          <w:sz w:val="28"/>
          <w:szCs w:val="28"/>
        </w:rPr>
      </w:pPr>
    </w:p>
    <w:p w14:paraId="5ECCF4F7" w14:textId="77777777" w:rsidR="00C92965" w:rsidRPr="006E31C1" w:rsidRDefault="00000000">
      <w:pPr>
        <w:numPr>
          <w:ilvl w:val="0"/>
          <w:numId w:val="8"/>
        </w:numPr>
        <w:pBdr>
          <w:top w:val="nil"/>
          <w:left w:val="nil"/>
          <w:bottom w:val="nil"/>
          <w:right w:val="nil"/>
          <w:between w:val="nil"/>
        </w:pBdr>
        <w:rPr>
          <w:rFonts w:ascii="Arial" w:eastAsia="Arial" w:hAnsi="Arial" w:cs="Arial"/>
          <w:b/>
          <w:bCs/>
          <w:color w:val="0E101A"/>
          <w:sz w:val="28"/>
          <w:szCs w:val="28"/>
        </w:rPr>
      </w:pPr>
      <w:r w:rsidRPr="006E31C1">
        <w:rPr>
          <w:rFonts w:ascii="Arial" w:eastAsia="Arial" w:hAnsi="Arial" w:cs="Arial"/>
          <w:b/>
          <w:bCs/>
          <w:color w:val="0E101A"/>
          <w:sz w:val="28"/>
          <w:szCs w:val="28"/>
        </w:rPr>
        <w:lastRenderedPageBreak/>
        <w:t xml:space="preserve">Annexes </w:t>
      </w:r>
    </w:p>
    <w:p w14:paraId="77DE8131" w14:textId="77777777" w:rsidR="00C92965" w:rsidRDefault="00C92965">
      <w:pPr>
        <w:ind w:left="360"/>
        <w:rPr>
          <w:rFonts w:ascii="Arial" w:eastAsia="Arial" w:hAnsi="Arial" w:cs="Arial"/>
          <w:color w:val="0E101A"/>
        </w:rPr>
      </w:pPr>
    </w:p>
    <w:p w14:paraId="2E0F305C" w14:textId="0400F4E2" w:rsidR="00C92965" w:rsidRDefault="00000000">
      <w:pPr>
        <w:numPr>
          <w:ilvl w:val="3"/>
          <w:numId w:val="8"/>
        </w:numPr>
        <w:pBdr>
          <w:top w:val="nil"/>
          <w:left w:val="nil"/>
          <w:bottom w:val="nil"/>
          <w:right w:val="nil"/>
          <w:between w:val="nil"/>
        </w:pBdr>
        <w:rPr>
          <w:rFonts w:ascii="Arial" w:eastAsia="Arial" w:hAnsi="Arial" w:cs="Arial"/>
          <w:color w:val="0E101A"/>
        </w:rPr>
      </w:pPr>
      <w:r>
        <w:rPr>
          <w:rFonts w:ascii="Arial" w:eastAsia="Arial" w:hAnsi="Arial" w:cs="Arial"/>
          <w:color w:val="0E101A"/>
        </w:rPr>
        <w:t>Graphiques des indicateurs</w:t>
      </w:r>
      <w:r w:rsidR="00011A44">
        <w:rPr>
          <w:rFonts w:ascii="Arial" w:eastAsia="Arial" w:hAnsi="Arial" w:cs="Arial"/>
          <w:color w:val="0E101A"/>
        </w:rPr>
        <w:t> :</w:t>
      </w:r>
    </w:p>
    <w:p w14:paraId="17BF0122" w14:textId="77777777" w:rsidR="00C92965" w:rsidRDefault="00C92965">
      <w:pPr>
        <w:rPr>
          <w:color w:val="0E101A"/>
          <w:sz w:val="28"/>
          <w:szCs w:val="28"/>
        </w:rPr>
      </w:pPr>
    </w:p>
    <w:p w14:paraId="159B2250" w14:textId="77777777" w:rsidR="00C92965" w:rsidRDefault="00000000">
      <w:pPr>
        <w:jc w:val="center"/>
        <w:rPr>
          <w:color w:val="0E101A"/>
          <w:sz w:val="28"/>
          <w:szCs w:val="28"/>
        </w:rPr>
      </w:pPr>
      <w:r>
        <w:rPr>
          <w:noProof/>
        </w:rPr>
        <w:drawing>
          <wp:inline distT="0" distB="0" distL="0" distR="0" wp14:anchorId="1D22DDD0" wp14:editId="5DA431ED">
            <wp:extent cx="6173932" cy="317575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73932" cy="3175756"/>
                    </a:xfrm>
                    <a:prstGeom prst="rect">
                      <a:avLst/>
                    </a:prstGeom>
                    <a:ln/>
                  </pic:spPr>
                </pic:pic>
              </a:graphicData>
            </a:graphic>
          </wp:inline>
        </w:drawing>
      </w:r>
      <w:r>
        <w:rPr>
          <w:color w:val="0E101A"/>
          <w:sz w:val="28"/>
          <w:szCs w:val="28"/>
          <w:vertAlign w:val="superscript"/>
        </w:rPr>
        <w:footnoteReference w:id="2"/>
      </w:r>
    </w:p>
    <w:p w14:paraId="7B8009EF" w14:textId="77777777" w:rsidR="00C92965" w:rsidRDefault="00C92965">
      <w:pPr>
        <w:rPr>
          <w:color w:val="0E101A"/>
          <w:sz w:val="28"/>
          <w:szCs w:val="28"/>
        </w:rPr>
      </w:pPr>
    </w:p>
    <w:p w14:paraId="7A0A22D6" w14:textId="77777777" w:rsidR="00C92965" w:rsidRDefault="00C92965">
      <w:pPr>
        <w:rPr>
          <w:color w:val="0E101A"/>
          <w:sz w:val="28"/>
          <w:szCs w:val="28"/>
        </w:rPr>
      </w:pPr>
    </w:p>
    <w:p w14:paraId="71E7663F" w14:textId="77777777" w:rsidR="00C92965" w:rsidRDefault="00C92965">
      <w:pPr>
        <w:rPr>
          <w:color w:val="0E101A"/>
          <w:sz w:val="28"/>
          <w:szCs w:val="28"/>
        </w:rPr>
      </w:pPr>
    </w:p>
    <w:p w14:paraId="554A7E7D" w14:textId="77777777" w:rsidR="00C92965" w:rsidRDefault="00000000">
      <w:pPr>
        <w:jc w:val="center"/>
        <w:rPr>
          <w:color w:val="0E101A"/>
          <w:sz w:val="28"/>
          <w:szCs w:val="28"/>
        </w:rPr>
      </w:pPr>
      <w:r>
        <w:rPr>
          <w:noProof/>
        </w:rPr>
        <w:drawing>
          <wp:inline distT="0" distB="0" distL="0" distR="0" wp14:anchorId="7F1C483B" wp14:editId="7B0BF84A">
            <wp:extent cx="6182880" cy="338154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182880" cy="3381547"/>
                    </a:xfrm>
                    <a:prstGeom prst="rect">
                      <a:avLst/>
                    </a:prstGeom>
                    <a:ln/>
                  </pic:spPr>
                </pic:pic>
              </a:graphicData>
            </a:graphic>
          </wp:inline>
        </w:drawing>
      </w:r>
    </w:p>
    <w:p w14:paraId="25E36824" w14:textId="77777777" w:rsidR="00C92965" w:rsidRDefault="00C92965">
      <w:pPr>
        <w:rPr>
          <w:color w:val="0E101A"/>
          <w:sz w:val="28"/>
          <w:szCs w:val="28"/>
        </w:rPr>
      </w:pPr>
    </w:p>
    <w:p w14:paraId="201EE1AE" w14:textId="77777777" w:rsidR="00C92965" w:rsidRDefault="00C92965">
      <w:pPr>
        <w:rPr>
          <w:color w:val="0E101A"/>
          <w:sz w:val="28"/>
          <w:szCs w:val="28"/>
        </w:rPr>
      </w:pPr>
    </w:p>
    <w:p w14:paraId="5BC49751" w14:textId="77777777" w:rsidR="00C92965" w:rsidRDefault="00C92965">
      <w:pPr>
        <w:rPr>
          <w:color w:val="0E101A"/>
          <w:sz w:val="28"/>
          <w:szCs w:val="28"/>
        </w:rPr>
      </w:pPr>
    </w:p>
    <w:p w14:paraId="1FEDE6BA" w14:textId="77777777" w:rsidR="00C92965" w:rsidRDefault="00C92965">
      <w:pPr>
        <w:rPr>
          <w:color w:val="0E101A"/>
          <w:sz w:val="28"/>
          <w:szCs w:val="28"/>
        </w:rPr>
      </w:pPr>
    </w:p>
    <w:p w14:paraId="04B9416B" w14:textId="77777777" w:rsidR="00C92965" w:rsidRDefault="00C92965">
      <w:pPr>
        <w:rPr>
          <w:color w:val="0E101A"/>
          <w:sz w:val="28"/>
          <w:szCs w:val="28"/>
        </w:rPr>
      </w:pPr>
    </w:p>
    <w:p w14:paraId="520F6329" w14:textId="77777777" w:rsidR="00C92965" w:rsidRDefault="00C92965">
      <w:pPr>
        <w:rPr>
          <w:color w:val="0E101A"/>
          <w:sz w:val="28"/>
          <w:szCs w:val="28"/>
        </w:rPr>
      </w:pPr>
    </w:p>
    <w:p w14:paraId="335C0C10" w14:textId="77777777" w:rsidR="00C92965" w:rsidRDefault="00C92965">
      <w:pPr>
        <w:rPr>
          <w:color w:val="0E101A"/>
          <w:sz w:val="28"/>
          <w:szCs w:val="28"/>
        </w:rPr>
      </w:pPr>
    </w:p>
    <w:p w14:paraId="6D47986D" w14:textId="77777777" w:rsidR="00C92965" w:rsidRDefault="00C92965">
      <w:pPr>
        <w:rPr>
          <w:color w:val="0E101A"/>
          <w:sz w:val="28"/>
          <w:szCs w:val="28"/>
        </w:rPr>
      </w:pPr>
    </w:p>
    <w:p w14:paraId="6EAF8CE6" w14:textId="77777777" w:rsidR="00C92965" w:rsidRDefault="00C92965">
      <w:pPr>
        <w:rPr>
          <w:color w:val="0E101A"/>
          <w:sz w:val="28"/>
          <w:szCs w:val="28"/>
        </w:rPr>
      </w:pPr>
    </w:p>
    <w:p w14:paraId="5FBD44C5" w14:textId="77777777" w:rsidR="00C92965" w:rsidRDefault="00000000">
      <w:pPr>
        <w:rPr>
          <w:color w:val="0E101A"/>
          <w:sz w:val="28"/>
          <w:szCs w:val="28"/>
        </w:rPr>
      </w:pPr>
      <w:r>
        <w:rPr>
          <w:noProof/>
        </w:rPr>
        <w:drawing>
          <wp:inline distT="0" distB="0" distL="0" distR="0" wp14:anchorId="15412EA3" wp14:editId="00A6F185">
            <wp:extent cx="6647815" cy="328168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647815" cy="3281680"/>
                    </a:xfrm>
                    <a:prstGeom prst="rect">
                      <a:avLst/>
                    </a:prstGeom>
                    <a:ln/>
                  </pic:spPr>
                </pic:pic>
              </a:graphicData>
            </a:graphic>
          </wp:inline>
        </w:drawing>
      </w:r>
    </w:p>
    <w:p w14:paraId="7B042516" w14:textId="77777777" w:rsidR="00C92965" w:rsidRDefault="00C92965">
      <w:pPr>
        <w:rPr>
          <w:color w:val="0E101A"/>
          <w:sz w:val="28"/>
          <w:szCs w:val="28"/>
        </w:rPr>
      </w:pPr>
    </w:p>
    <w:p w14:paraId="690FAFEE" w14:textId="77777777" w:rsidR="00C92965" w:rsidRDefault="00C92965">
      <w:pPr>
        <w:rPr>
          <w:color w:val="0E101A"/>
          <w:sz w:val="28"/>
          <w:szCs w:val="28"/>
        </w:rPr>
      </w:pPr>
    </w:p>
    <w:p w14:paraId="19DD2FE1" w14:textId="77777777" w:rsidR="00C92965" w:rsidRDefault="00C92965">
      <w:pPr>
        <w:rPr>
          <w:color w:val="0E101A"/>
          <w:sz w:val="28"/>
          <w:szCs w:val="28"/>
        </w:rPr>
      </w:pPr>
    </w:p>
    <w:p w14:paraId="55828C3A" w14:textId="77777777" w:rsidR="00C92965" w:rsidRDefault="00C92965">
      <w:pPr>
        <w:rPr>
          <w:color w:val="0E101A"/>
          <w:sz w:val="28"/>
          <w:szCs w:val="28"/>
        </w:rPr>
      </w:pPr>
    </w:p>
    <w:p w14:paraId="0C4A5D79" w14:textId="77777777" w:rsidR="00C92965" w:rsidRDefault="00000000">
      <w:pPr>
        <w:rPr>
          <w:color w:val="0E101A"/>
          <w:sz w:val="28"/>
          <w:szCs w:val="28"/>
        </w:rPr>
      </w:pPr>
      <w:r>
        <w:rPr>
          <w:noProof/>
        </w:rPr>
        <w:drawing>
          <wp:inline distT="0" distB="0" distL="0" distR="0" wp14:anchorId="1F8C27AD" wp14:editId="5EDADFB4">
            <wp:extent cx="6651086" cy="331633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651086" cy="3316331"/>
                    </a:xfrm>
                    <a:prstGeom prst="rect">
                      <a:avLst/>
                    </a:prstGeom>
                    <a:ln/>
                  </pic:spPr>
                </pic:pic>
              </a:graphicData>
            </a:graphic>
          </wp:inline>
        </w:drawing>
      </w:r>
    </w:p>
    <w:p w14:paraId="1BF09A9D" w14:textId="77777777" w:rsidR="00C92965" w:rsidRDefault="00C92965">
      <w:pPr>
        <w:rPr>
          <w:color w:val="0E101A"/>
          <w:sz w:val="28"/>
          <w:szCs w:val="28"/>
        </w:rPr>
      </w:pPr>
    </w:p>
    <w:p w14:paraId="78684097" w14:textId="77777777" w:rsidR="00C92965" w:rsidRDefault="00C92965">
      <w:pPr>
        <w:rPr>
          <w:color w:val="0E101A"/>
          <w:sz w:val="28"/>
          <w:szCs w:val="28"/>
        </w:rPr>
      </w:pPr>
    </w:p>
    <w:p w14:paraId="5282CC9A" w14:textId="77777777" w:rsidR="00C92965" w:rsidRDefault="00000000">
      <w:pPr>
        <w:rPr>
          <w:color w:val="0E101A"/>
          <w:sz w:val="28"/>
          <w:szCs w:val="28"/>
        </w:rPr>
      </w:pPr>
      <w:r>
        <w:rPr>
          <w:noProof/>
        </w:rPr>
        <w:lastRenderedPageBreak/>
        <w:drawing>
          <wp:inline distT="0" distB="0" distL="0" distR="0" wp14:anchorId="0DC4E927" wp14:editId="5631366A">
            <wp:extent cx="6647815" cy="3619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647815" cy="3619500"/>
                    </a:xfrm>
                    <a:prstGeom prst="rect">
                      <a:avLst/>
                    </a:prstGeom>
                    <a:ln/>
                  </pic:spPr>
                </pic:pic>
              </a:graphicData>
            </a:graphic>
          </wp:inline>
        </w:drawing>
      </w:r>
    </w:p>
    <w:p w14:paraId="7EF01193" w14:textId="77777777" w:rsidR="00C92965" w:rsidRDefault="00C92965">
      <w:pPr>
        <w:rPr>
          <w:color w:val="0E101A"/>
          <w:sz w:val="28"/>
          <w:szCs w:val="28"/>
        </w:rPr>
      </w:pPr>
    </w:p>
    <w:p w14:paraId="5ADF283D" w14:textId="77777777" w:rsidR="00C92965" w:rsidRDefault="00C92965">
      <w:pPr>
        <w:rPr>
          <w:color w:val="0E101A"/>
          <w:sz w:val="28"/>
          <w:szCs w:val="28"/>
        </w:rPr>
      </w:pPr>
    </w:p>
    <w:p w14:paraId="3E17A578" w14:textId="77777777" w:rsidR="00C92965" w:rsidRDefault="00C92965">
      <w:pPr>
        <w:rPr>
          <w:color w:val="0E101A"/>
          <w:sz w:val="28"/>
          <w:szCs w:val="28"/>
        </w:rPr>
      </w:pPr>
    </w:p>
    <w:p w14:paraId="2C33C95B" w14:textId="77777777" w:rsidR="00C92965" w:rsidRDefault="00C92965">
      <w:pPr>
        <w:rPr>
          <w:color w:val="0E101A"/>
          <w:sz w:val="28"/>
          <w:szCs w:val="28"/>
        </w:rPr>
      </w:pPr>
    </w:p>
    <w:p w14:paraId="59C07CF3" w14:textId="77777777" w:rsidR="00C92965" w:rsidRDefault="00C92965">
      <w:pPr>
        <w:rPr>
          <w:color w:val="0E101A"/>
          <w:sz w:val="28"/>
          <w:szCs w:val="28"/>
        </w:rPr>
      </w:pPr>
    </w:p>
    <w:p w14:paraId="48866EC3" w14:textId="77777777" w:rsidR="00C92965" w:rsidRDefault="00C92965">
      <w:pPr>
        <w:rPr>
          <w:color w:val="0E101A"/>
          <w:sz w:val="28"/>
          <w:szCs w:val="28"/>
        </w:rPr>
      </w:pPr>
    </w:p>
    <w:p w14:paraId="68540BAD" w14:textId="77777777" w:rsidR="00C92965" w:rsidRDefault="00C92965">
      <w:pPr>
        <w:rPr>
          <w:color w:val="0E101A"/>
          <w:sz w:val="28"/>
          <w:szCs w:val="28"/>
        </w:rPr>
      </w:pPr>
    </w:p>
    <w:p w14:paraId="7B50C7B5" w14:textId="77777777" w:rsidR="00C92965" w:rsidRDefault="00C92965">
      <w:pPr>
        <w:rPr>
          <w:color w:val="0E101A"/>
          <w:sz w:val="28"/>
          <w:szCs w:val="28"/>
        </w:rPr>
      </w:pPr>
    </w:p>
    <w:p w14:paraId="650A5F1E" w14:textId="77777777" w:rsidR="00C92965" w:rsidRDefault="00C92965">
      <w:pPr>
        <w:rPr>
          <w:color w:val="0E101A"/>
          <w:sz w:val="28"/>
          <w:szCs w:val="28"/>
        </w:rPr>
      </w:pPr>
    </w:p>
    <w:p w14:paraId="59EFDF2F" w14:textId="77777777" w:rsidR="00C92965" w:rsidRDefault="00C92965">
      <w:pPr>
        <w:rPr>
          <w:color w:val="0E101A"/>
          <w:sz w:val="28"/>
          <w:szCs w:val="28"/>
        </w:rPr>
      </w:pPr>
    </w:p>
    <w:p w14:paraId="6251ED62" w14:textId="77777777" w:rsidR="00C92965" w:rsidRDefault="00C92965">
      <w:pPr>
        <w:rPr>
          <w:color w:val="0E101A"/>
          <w:sz w:val="28"/>
          <w:szCs w:val="28"/>
        </w:rPr>
      </w:pPr>
    </w:p>
    <w:p w14:paraId="7C0CA43C" w14:textId="77777777" w:rsidR="00C92965" w:rsidRDefault="00C92965">
      <w:pPr>
        <w:rPr>
          <w:color w:val="0E101A"/>
          <w:sz w:val="28"/>
          <w:szCs w:val="28"/>
        </w:rPr>
      </w:pPr>
    </w:p>
    <w:p w14:paraId="0C05979F" w14:textId="77777777" w:rsidR="00C92965" w:rsidRDefault="00C92965">
      <w:pPr>
        <w:rPr>
          <w:color w:val="0E101A"/>
          <w:sz w:val="28"/>
          <w:szCs w:val="28"/>
        </w:rPr>
      </w:pPr>
    </w:p>
    <w:p w14:paraId="4D96721F" w14:textId="77777777" w:rsidR="00C92965" w:rsidRDefault="00C92965">
      <w:pPr>
        <w:rPr>
          <w:color w:val="0E101A"/>
          <w:sz w:val="28"/>
          <w:szCs w:val="28"/>
        </w:rPr>
      </w:pPr>
    </w:p>
    <w:p w14:paraId="1FA4F46B" w14:textId="77777777" w:rsidR="00C92965" w:rsidRDefault="00C92965">
      <w:pPr>
        <w:rPr>
          <w:color w:val="0E101A"/>
          <w:sz w:val="28"/>
          <w:szCs w:val="28"/>
        </w:rPr>
      </w:pPr>
    </w:p>
    <w:p w14:paraId="16416898" w14:textId="77777777" w:rsidR="00C92965" w:rsidRDefault="00C92965">
      <w:pPr>
        <w:rPr>
          <w:color w:val="0E101A"/>
          <w:sz w:val="28"/>
          <w:szCs w:val="28"/>
        </w:rPr>
      </w:pPr>
    </w:p>
    <w:p w14:paraId="665639C7" w14:textId="77777777" w:rsidR="00C92965" w:rsidRDefault="00C92965">
      <w:pPr>
        <w:rPr>
          <w:color w:val="0E101A"/>
          <w:sz w:val="28"/>
          <w:szCs w:val="28"/>
        </w:rPr>
      </w:pPr>
    </w:p>
    <w:p w14:paraId="14F367BB" w14:textId="77777777" w:rsidR="00C92965" w:rsidRDefault="00C92965">
      <w:pPr>
        <w:rPr>
          <w:color w:val="0E101A"/>
          <w:sz w:val="28"/>
          <w:szCs w:val="28"/>
        </w:rPr>
      </w:pPr>
    </w:p>
    <w:p w14:paraId="58DF1BA4" w14:textId="77777777" w:rsidR="00C92965" w:rsidRDefault="00C92965">
      <w:pPr>
        <w:rPr>
          <w:color w:val="0E101A"/>
          <w:sz w:val="28"/>
          <w:szCs w:val="28"/>
        </w:rPr>
      </w:pPr>
    </w:p>
    <w:p w14:paraId="023450F4" w14:textId="77777777" w:rsidR="00C92965" w:rsidRDefault="00C92965">
      <w:pPr>
        <w:rPr>
          <w:color w:val="0E101A"/>
          <w:sz w:val="28"/>
          <w:szCs w:val="28"/>
        </w:rPr>
      </w:pPr>
    </w:p>
    <w:p w14:paraId="2C12431C" w14:textId="77777777" w:rsidR="00C92965" w:rsidRDefault="00C92965">
      <w:pPr>
        <w:rPr>
          <w:color w:val="0E101A"/>
          <w:sz w:val="28"/>
          <w:szCs w:val="28"/>
        </w:rPr>
      </w:pPr>
    </w:p>
    <w:p w14:paraId="53A551EE" w14:textId="77777777" w:rsidR="00C92965" w:rsidRDefault="00C92965">
      <w:pPr>
        <w:rPr>
          <w:color w:val="0E101A"/>
          <w:sz w:val="28"/>
          <w:szCs w:val="28"/>
        </w:rPr>
      </w:pPr>
    </w:p>
    <w:p w14:paraId="0844F041" w14:textId="77777777" w:rsidR="00C92965" w:rsidRDefault="00C92965">
      <w:pPr>
        <w:rPr>
          <w:color w:val="0E101A"/>
          <w:sz w:val="28"/>
          <w:szCs w:val="28"/>
        </w:rPr>
      </w:pPr>
    </w:p>
    <w:p w14:paraId="57C1AA74" w14:textId="77777777" w:rsidR="00C92965" w:rsidRDefault="00C92965">
      <w:pPr>
        <w:rPr>
          <w:color w:val="0E101A"/>
          <w:sz w:val="28"/>
          <w:szCs w:val="28"/>
        </w:rPr>
      </w:pPr>
    </w:p>
    <w:p w14:paraId="3BB510DD" w14:textId="77777777" w:rsidR="00C92965" w:rsidRDefault="00C92965">
      <w:pPr>
        <w:rPr>
          <w:color w:val="0E101A"/>
          <w:sz w:val="28"/>
          <w:szCs w:val="28"/>
        </w:rPr>
      </w:pPr>
    </w:p>
    <w:p w14:paraId="2C54B744" w14:textId="77777777" w:rsidR="00C92965" w:rsidRDefault="00C92965">
      <w:pPr>
        <w:rPr>
          <w:color w:val="0E101A"/>
          <w:sz w:val="28"/>
          <w:szCs w:val="28"/>
        </w:rPr>
      </w:pPr>
    </w:p>
    <w:p w14:paraId="49078265" w14:textId="77777777" w:rsidR="00C92965" w:rsidRDefault="00C92965">
      <w:pPr>
        <w:rPr>
          <w:color w:val="0E101A"/>
          <w:sz w:val="28"/>
          <w:szCs w:val="28"/>
        </w:rPr>
      </w:pPr>
    </w:p>
    <w:p w14:paraId="40223C9A" w14:textId="77777777" w:rsidR="00C92965" w:rsidRDefault="00C92965">
      <w:pPr>
        <w:rPr>
          <w:color w:val="0E101A"/>
          <w:sz w:val="28"/>
          <w:szCs w:val="28"/>
        </w:rPr>
      </w:pPr>
    </w:p>
    <w:p w14:paraId="7C7BA699" w14:textId="77777777" w:rsidR="00C92965" w:rsidRPr="006E31C1" w:rsidRDefault="00C92965">
      <w:pPr>
        <w:rPr>
          <w:rFonts w:ascii="Arial" w:eastAsia="Arial" w:hAnsi="Arial" w:cs="Arial"/>
          <w:color w:val="0E101A"/>
        </w:rPr>
      </w:pPr>
    </w:p>
    <w:p w14:paraId="2EB346CD" w14:textId="45E28CCE" w:rsidR="00C92965" w:rsidRPr="006E31C1" w:rsidRDefault="00000000">
      <w:pPr>
        <w:numPr>
          <w:ilvl w:val="3"/>
          <w:numId w:val="8"/>
        </w:num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Outil Quantitatif</w:t>
      </w:r>
      <w:r w:rsidR="00011A44" w:rsidRPr="006E31C1">
        <w:rPr>
          <w:rFonts w:ascii="Arial" w:eastAsia="Arial" w:hAnsi="Arial" w:cs="Arial"/>
          <w:color w:val="0E101A"/>
        </w:rPr>
        <w:t xml:space="preserve"> : </w:t>
      </w:r>
    </w:p>
    <w:p w14:paraId="2EAFECD5" w14:textId="77777777" w:rsidR="00C92965" w:rsidRPr="006E31C1" w:rsidRDefault="00C92965">
      <w:pPr>
        <w:rPr>
          <w:rFonts w:ascii="Arial" w:eastAsia="Arial" w:hAnsi="Arial" w:cs="Arial"/>
          <w:color w:val="0E101A"/>
        </w:rPr>
      </w:pPr>
    </w:p>
    <w:p w14:paraId="2E1D705C" w14:textId="77777777" w:rsidR="00C92965" w:rsidRPr="006E31C1" w:rsidRDefault="00000000">
      <w:pPr>
        <w:rPr>
          <w:rFonts w:ascii="Arial" w:eastAsia="Arial" w:hAnsi="Arial" w:cs="Arial"/>
          <w:color w:val="0E101A"/>
        </w:rPr>
      </w:pPr>
      <w:r w:rsidRPr="006E31C1">
        <w:rPr>
          <w:rFonts w:ascii="Arial" w:eastAsia="Arial" w:hAnsi="Arial" w:cs="Arial"/>
          <w:color w:val="0E101A"/>
        </w:rPr>
        <w:t xml:space="preserve">Nous avons décidé d’utiliser un modèle Markov </w:t>
      </w:r>
      <w:proofErr w:type="spellStart"/>
      <w:r w:rsidRPr="006E31C1">
        <w:rPr>
          <w:rFonts w:ascii="Arial" w:eastAsia="Arial" w:hAnsi="Arial" w:cs="Arial"/>
          <w:color w:val="0E101A"/>
        </w:rPr>
        <w:t>Switching</w:t>
      </w:r>
      <w:proofErr w:type="spellEnd"/>
      <w:r w:rsidRPr="006E31C1">
        <w:rPr>
          <w:rFonts w:ascii="Arial" w:eastAsia="Arial" w:hAnsi="Arial" w:cs="Arial"/>
          <w:color w:val="0E101A"/>
        </w:rPr>
        <w:t xml:space="preserve"> Autorégressive (MS-AR) pour estimer les régimes de volatilité de l’inflation Américaine et Française à l’aide des séries du CPI.</w:t>
      </w:r>
    </w:p>
    <w:p w14:paraId="3A6C501D" w14:textId="77777777" w:rsidR="00C92965" w:rsidRPr="006E31C1" w:rsidRDefault="00C92965">
      <w:pPr>
        <w:rPr>
          <w:rFonts w:ascii="Arial" w:hAnsi="Arial" w:cs="Arial"/>
          <w:color w:val="0E101A"/>
          <w:sz w:val="28"/>
          <w:szCs w:val="28"/>
        </w:rPr>
      </w:pPr>
    </w:p>
    <w:p w14:paraId="684A4871" w14:textId="77777777" w:rsidR="00C92965" w:rsidRPr="006E31C1" w:rsidRDefault="00000000">
      <w:pPr>
        <w:jc w:val="center"/>
        <w:rPr>
          <w:rFonts w:ascii="Arial" w:hAnsi="Arial" w:cs="Arial"/>
          <w:color w:val="0E101A"/>
          <w:sz w:val="28"/>
          <w:szCs w:val="28"/>
        </w:rPr>
      </w:pPr>
      <w:r w:rsidRPr="006E31C1">
        <w:rPr>
          <w:rFonts w:ascii="Arial" w:hAnsi="Arial" w:cs="Arial"/>
          <w:noProof/>
        </w:rPr>
        <w:drawing>
          <wp:inline distT="0" distB="0" distL="0" distR="0" wp14:anchorId="390151A8" wp14:editId="617EFF91">
            <wp:extent cx="5760720" cy="3238500"/>
            <wp:effectExtent l="0" t="0" r="0" b="9525"/>
            <wp:docPr id="7" name="image5.png" descr="A graph showing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showing a graph&#10;&#10;Description automatically generated"/>
                    <pic:cNvPicPr preferRelativeResize="0"/>
                  </pic:nvPicPr>
                  <pic:blipFill>
                    <a:blip r:embed="rId16"/>
                    <a:srcRect/>
                    <a:stretch>
                      <a:fillRect/>
                    </a:stretch>
                  </pic:blipFill>
                  <pic:spPr>
                    <a:xfrm>
                      <a:off x="0" y="0"/>
                      <a:ext cx="5760720" cy="3238500"/>
                    </a:xfrm>
                    <a:prstGeom prst="rect">
                      <a:avLst/>
                    </a:prstGeom>
                    <a:ln/>
                  </pic:spPr>
                </pic:pic>
              </a:graphicData>
            </a:graphic>
          </wp:inline>
        </w:drawing>
      </w:r>
    </w:p>
    <w:p w14:paraId="04CA0413" w14:textId="77777777" w:rsidR="00C92965" w:rsidRPr="006E31C1" w:rsidRDefault="00C92965">
      <w:pPr>
        <w:rPr>
          <w:rFonts w:ascii="Arial" w:hAnsi="Arial" w:cs="Arial"/>
          <w:color w:val="0E101A"/>
          <w:sz w:val="28"/>
          <w:szCs w:val="28"/>
        </w:rPr>
      </w:pPr>
    </w:p>
    <w:p w14:paraId="550B0B64" w14:textId="77777777" w:rsidR="00C92965" w:rsidRPr="006E31C1" w:rsidRDefault="00000000">
      <w:pPr>
        <w:jc w:val="center"/>
        <w:rPr>
          <w:rFonts w:ascii="Arial" w:hAnsi="Arial" w:cs="Arial"/>
          <w:color w:val="0E101A"/>
          <w:sz w:val="28"/>
          <w:szCs w:val="28"/>
        </w:rPr>
      </w:pPr>
      <w:r w:rsidRPr="006E31C1">
        <w:rPr>
          <w:rFonts w:ascii="Arial" w:hAnsi="Arial" w:cs="Arial"/>
          <w:noProof/>
        </w:rPr>
        <w:drawing>
          <wp:inline distT="0" distB="0" distL="0" distR="0" wp14:anchorId="45173670" wp14:editId="1493564D">
            <wp:extent cx="5760720" cy="3238500"/>
            <wp:effectExtent l="0" t="0" r="0" b="9525"/>
            <wp:docPr id="10" name="image6.png" descr="A graph showing a line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graph showing a line graph&#10;&#10;Description automatically generated"/>
                    <pic:cNvPicPr preferRelativeResize="0"/>
                  </pic:nvPicPr>
                  <pic:blipFill>
                    <a:blip r:embed="rId17"/>
                    <a:srcRect/>
                    <a:stretch>
                      <a:fillRect/>
                    </a:stretch>
                  </pic:blipFill>
                  <pic:spPr>
                    <a:xfrm>
                      <a:off x="0" y="0"/>
                      <a:ext cx="5760720" cy="3238500"/>
                    </a:xfrm>
                    <a:prstGeom prst="rect">
                      <a:avLst/>
                    </a:prstGeom>
                    <a:ln/>
                  </pic:spPr>
                </pic:pic>
              </a:graphicData>
            </a:graphic>
          </wp:inline>
        </w:drawing>
      </w:r>
    </w:p>
    <w:p w14:paraId="23C0E7E7" w14:textId="77777777" w:rsidR="00C92965" w:rsidRPr="006E31C1" w:rsidRDefault="00C92965">
      <w:pPr>
        <w:rPr>
          <w:rFonts w:ascii="Arial" w:hAnsi="Arial" w:cs="Arial"/>
          <w:color w:val="0E101A"/>
          <w:sz w:val="28"/>
          <w:szCs w:val="28"/>
        </w:rPr>
      </w:pPr>
    </w:p>
    <w:p w14:paraId="3A8D43F6" w14:textId="77777777" w:rsidR="00C92965" w:rsidRPr="006E31C1" w:rsidRDefault="00C92965">
      <w:pPr>
        <w:jc w:val="center"/>
        <w:rPr>
          <w:rFonts w:ascii="Arial" w:hAnsi="Arial" w:cs="Arial"/>
          <w:color w:val="0E101A"/>
          <w:sz w:val="28"/>
          <w:szCs w:val="28"/>
        </w:rPr>
      </w:pPr>
    </w:p>
    <w:p w14:paraId="5875134D" w14:textId="6658193F" w:rsidR="00C92965" w:rsidRPr="006E31C1" w:rsidRDefault="00000000">
      <w:pPr>
        <w:rPr>
          <w:rFonts w:ascii="Arial" w:eastAsia="Arial" w:hAnsi="Arial" w:cs="Arial"/>
          <w:color w:val="0E101A"/>
        </w:rPr>
      </w:pPr>
      <w:r w:rsidRPr="006E31C1">
        <w:rPr>
          <w:rFonts w:ascii="Arial" w:eastAsia="Arial" w:hAnsi="Arial" w:cs="Arial"/>
          <w:color w:val="0E101A"/>
        </w:rPr>
        <w:t>Dans un premier temps, nous voulions estimer notre modèle MS-AR sur le taux de croissance du PIB de la même manière que Hamilton</w:t>
      </w:r>
      <w:r w:rsidRPr="006E31C1">
        <w:rPr>
          <w:rFonts w:ascii="Arial" w:eastAsia="Arial" w:hAnsi="Arial" w:cs="Arial"/>
          <w:color w:val="0E101A"/>
          <w:vertAlign w:val="superscript"/>
        </w:rPr>
        <w:footnoteReference w:id="3"/>
      </w:r>
      <w:r w:rsidRPr="006E31C1">
        <w:rPr>
          <w:rFonts w:ascii="Arial" w:eastAsia="Arial" w:hAnsi="Arial" w:cs="Arial"/>
          <w:color w:val="0E101A"/>
        </w:rPr>
        <w:t xml:space="preserve"> (1989) mais les épisodes du Covid biaisent notre estimation du fait des amplitudes de variation de la série</w:t>
      </w:r>
      <w:r w:rsidR="00B7479A" w:rsidRPr="006E31C1">
        <w:rPr>
          <w:rFonts w:ascii="Arial" w:eastAsia="Arial" w:hAnsi="Arial" w:cs="Arial"/>
          <w:color w:val="0E101A"/>
        </w:rPr>
        <w:t xml:space="preserve"> sur cette période.</w:t>
      </w:r>
    </w:p>
    <w:p w14:paraId="1E725022" w14:textId="77777777" w:rsidR="00C92965" w:rsidRPr="006E31C1" w:rsidRDefault="00000000">
      <w:pPr>
        <w:rPr>
          <w:rFonts w:ascii="Arial" w:eastAsia="Arial" w:hAnsi="Arial" w:cs="Arial"/>
          <w:color w:val="0E101A"/>
        </w:rPr>
      </w:pPr>
      <w:r w:rsidRPr="006E31C1">
        <w:rPr>
          <w:rFonts w:ascii="Arial" w:eastAsia="Arial" w:hAnsi="Arial" w:cs="Arial"/>
          <w:color w:val="0E101A"/>
        </w:rPr>
        <w:lastRenderedPageBreak/>
        <w:t>Nous avons alors estimé un modèle MS-AR sur les séries de l’inflation US et Française nous permettant d’inférer sur les régimes de volatilité d’inflation.</w:t>
      </w:r>
    </w:p>
    <w:p w14:paraId="2278F60E" w14:textId="77777777" w:rsidR="00C92965" w:rsidRPr="006E31C1" w:rsidRDefault="00C92965">
      <w:pPr>
        <w:rPr>
          <w:rFonts w:ascii="Arial" w:eastAsia="Arial" w:hAnsi="Arial" w:cs="Arial"/>
          <w:color w:val="0E101A"/>
        </w:rPr>
      </w:pPr>
    </w:p>
    <w:p w14:paraId="1584386D" w14:textId="77777777" w:rsidR="00C92965" w:rsidRPr="006E31C1" w:rsidRDefault="00000000">
      <w:pPr>
        <w:rPr>
          <w:rFonts w:ascii="Arial" w:eastAsia="Arial" w:hAnsi="Arial" w:cs="Arial"/>
          <w:color w:val="0E101A"/>
        </w:rPr>
      </w:pPr>
      <w:r w:rsidRPr="006E31C1">
        <w:rPr>
          <w:rFonts w:ascii="Arial" w:eastAsia="Arial" w:hAnsi="Arial" w:cs="Arial"/>
          <w:color w:val="0E101A"/>
        </w:rPr>
        <w:t>Nous avons alors retenue pour les deux séries un MS-AR avec un retard de 2 et deux régimes :</w:t>
      </w:r>
    </w:p>
    <w:p w14:paraId="0C757010" w14:textId="77777777" w:rsidR="00C92965" w:rsidRPr="006E31C1" w:rsidRDefault="00C92965">
      <w:pPr>
        <w:rPr>
          <w:rFonts w:ascii="Arial" w:hAnsi="Arial" w:cs="Arial"/>
          <w:color w:val="0E101A"/>
          <w:sz w:val="28"/>
          <w:szCs w:val="28"/>
        </w:rPr>
      </w:pPr>
    </w:p>
    <w:p w14:paraId="1058CDB6" w14:textId="77777777" w:rsidR="00C92965" w:rsidRPr="006E31C1" w:rsidRDefault="00000000">
      <w:pPr>
        <w:jc w:val="center"/>
        <w:rPr>
          <w:rFonts w:ascii="Arial" w:hAnsi="Arial" w:cs="Arial"/>
          <w:color w:val="0E101A"/>
          <w:sz w:val="28"/>
          <w:szCs w:val="28"/>
        </w:rPr>
      </w:pPr>
      <w:r w:rsidRPr="006E31C1">
        <w:rPr>
          <w:rFonts w:ascii="Arial" w:hAnsi="Arial" w:cs="Arial"/>
          <w:noProof/>
        </w:rPr>
        <w:drawing>
          <wp:inline distT="0" distB="0" distL="0" distR="0" wp14:anchorId="04876090" wp14:editId="1F300BD6">
            <wp:extent cx="5133975" cy="3057525"/>
            <wp:effectExtent l="0" t="0" r="9525" b="9525"/>
            <wp:docPr id="9" name="image8.png" descr="A graph with numbers an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A graph with numbers and lines&#10;&#10;Description automatically generated with medium confidence"/>
                    <pic:cNvPicPr preferRelativeResize="0"/>
                  </pic:nvPicPr>
                  <pic:blipFill>
                    <a:blip r:embed="rId18"/>
                    <a:srcRect/>
                    <a:stretch>
                      <a:fillRect/>
                    </a:stretch>
                  </pic:blipFill>
                  <pic:spPr>
                    <a:xfrm>
                      <a:off x="0" y="0"/>
                      <a:ext cx="5133975" cy="3057525"/>
                    </a:xfrm>
                    <a:prstGeom prst="rect">
                      <a:avLst/>
                    </a:prstGeom>
                    <a:ln/>
                  </pic:spPr>
                </pic:pic>
              </a:graphicData>
            </a:graphic>
          </wp:inline>
        </w:drawing>
      </w:r>
    </w:p>
    <w:p w14:paraId="39D885ED" w14:textId="77777777" w:rsidR="00C92965" w:rsidRPr="006E31C1" w:rsidRDefault="00C92965">
      <w:pPr>
        <w:rPr>
          <w:rFonts w:ascii="Arial" w:hAnsi="Arial" w:cs="Arial"/>
          <w:color w:val="0E101A"/>
          <w:sz w:val="28"/>
          <w:szCs w:val="28"/>
        </w:rPr>
      </w:pPr>
    </w:p>
    <w:p w14:paraId="4296A186" w14:textId="7F5225E8" w:rsidR="00C92965" w:rsidRPr="006E31C1" w:rsidRDefault="00000000">
      <w:pPr>
        <w:rPr>
          <w:rFonts w:ascii="Arial" w:eastAsia="Arial" w:hAnsi="Arial" w:cs="Arial"/>
          <w:color w:val="0E101A"/>
        </w:rPr>
      </w:pPr>
      <w:r w:rsidRPr="006E31C1">
        <w:rPr>
          <w:rFonts w:ascii="Arial" w:eastAsia="Arial" w:hAnsi="Arial" w:cs="Arial"/>
          <w:color w:val="0E101A"/>
        </w:rPr>
        <w:t>Comme le montre ce</w:t>
      </w:r>
      <w:r w:rsidR="00B7479A" w:rsidRPr="006E31C1">
        <w:rPr>
          <w:rFonts w:ascii="Arial" w:eastAsia="Arial" w:hAnsi="Arial" w:cs="Arial"/>
          <w:color w:val="0E101A"/>
        </w:rPr>
        <w:t xml:space="preserve">s tableaux la quasi-intégralité </w:t>
      </w:r>
      <w:r w:rsidRPr="006E31C1">
        <w:rPr>
          <w:rFonts w:ascii="Arial" w:eastAsia="Arial" w:hAnsi="Arial" w:cs="Arial"/>
          <w:color w:val="0E101A"/>
        </w:rPr>
        <w:t>des coefficients sont significatifs au seuil de 5% ce qui confirme le retard choisie et l’existence de deux régimes pour l’inflation : un régime de volatilité faible et un régime de volatilité élevé.</w:t>
      </w:r>
    </w:p>
    <w:p w14:paraId="27BF7603" w14:textId="77777777" w:rsidR="00C92965" w:rsidRPr="006E31C1" w:rsidRDefault="00C92965">
      <w:pPr>
        <w:rPr>
          <w:rFonts w:ascii="Arial" w:hAnsi="Arial" w:cs="Arial"/>
          <w:color w:val="0E101A"/>
          <w:sz w:val="28"/>
          <w:szCs w:val="28"/>
        </w:rPr>
      </w:pPr>
    </w:p>
    <w:p w14:paraId="4D9D6BBA" w14:textId="77777777" w:rsidR="00001A58" w:rsidRPr="006E31C1" w:rsidRDefault="00001A58">
      <w:pPr>
        <w:rPr>
          <w:rFonts w:ascii="Arial" w:hAnsi="Arial" w:cs="Arial"/>
          <w:color w:val="0E101A"/>
          <w:sz w:val="28"/>
          <w:szCs w:val="28"/>
        </w:rPr>
      </w:pPr>
    </w:p>
    <w:tbl>
      <w:tblPr>
        <w:tblStyle w:val="a1"/>
        <w:tblW w:w="5296" w:type="dxa"/>
        <w:jc w:val="center"/>
        <w:tblInd w:w="0" w:type="dxa"/>
        <w:tblLayout w:type="fixed"/>
        <w:tblLook w:val="0400" w:firstRow="0" w:lastRow="0" w:firstColumn="0" w:lastColumn="0" w:noHBand="0" w:noVBand="1"/>
      </w:tblPr>
      <w:tblGrid>
        <w:gridCol w:w="2571"/>
        <w:gridCol w:w="1381"/>
        <w:gridCol w:w="1344"/>
      </w:tblGrid>
      <w:tr w:rsidR="00C92965" w:rsidRPr="006E31C1" w14:paraId="7D3E11FD" w14:textId="77777777">
        <w:trPr>
          <w:jc w:val="center"/>
        </w:trPr>
        <w:tc>
          <w:tcPr>
            <w:tcW w:w="5297" w:type="dxa"/>
            <w:gridSpan w:val="3"/>
            <w:tcBorders>
              <w:top w:val="nil"/>
              <w:left w:val="nil"/>
              <w:bottom w:val="nil"/>
              <w:right w:val="nil"/>
            </w:tcBorders>
            <w:vAlign w:val="center"/>
          </w:tcPr>
          <w:p w14:paraId="771F0CE1" w14:textId="77777777" w:rsidR="00C92965" w:rsidRPr="006E31C1" w:rsidRDefault="00000000">
            <w:pPr>
              <w:jc w:val="center"/>
              <w:rPr>
                <w:rFonts w:ascii="Arial" w:hAnsi="Arial" w:cs="Arial"/>
              </w:rPr>
            </w:pPr>
            <w:r w:rsidRPr="006E31C1">
              <w:rPr>
                <w:rFonts w:ascii="Arial" w:hAnsi="Arial" w:cs="Arial"/>
                <w:b/>
              </w:rPr>
              <w:t>Résultat estimation modèle MS-AR (2) pour les US</w:t>
            </w:r>
          </w:p>
        </w:tc>
      </w:tr>
      <w:tr w:rsidR="00C92965" w:rsidRPr="006E31C1" w14:paraId="62F640E2" w14:textId="77777777">
        <w:trPr>
          <w:jc w:val="center"/>
        </w:trPr>
        <w:tc>
          <w:tcPr>
            <w:tcW w:w="5297" w:type="dxa"/>
            <w:gridSpan w:val="3"/>
            <w:tcBorders>
              <w:bottom w:val="single" w:sz="6" w:space="0" w:color="000000"/>
            </w:tcBorders>
            <w:vAlign w:val="center"/>
          </w:tcPr>
          <w:p w14:paraId="514519A9" w14:textId="77777777" w:rsidR="00C92965" w:rsidRPr="006E31C1" w:rsidRDefault="00C92965">
            <w:pPr>
              <w:jc w:val="center"/>
              <w:rPr>
                <w:rFonts w:ascii="Arial" w:hAnsi="Arial" w:cs="Arial"/>
                <w:sz w:val="16"/>
                <w:szCs w:val="16"/>
              </w:rPr>
            </w:pPr>
          </w:p>
        </w:tc>
      </w:tr>
      <w:tr w:rsidR="00C92965" w:rsidRPr="006E31C1" w14:paraId="54D1C31F" w14:textId="77777777">
        <w:trPr>
          <w:jc w:val="center"/>
        </w:trPr>
        <w:tc>
          <w:tcPr>
            <w:tcW w:w="2572" w:type="dxa"/>
            <w:vAlign w:val="center"/>
          </w:tcPr>
          <w:p w14:paraId="1C240BCD" w14:textId="77777777" w:rsidR="00C92965" w:rsidRPr="006E31C1" w:rsidRDefault="00C92965">
            <w:pPr>
              <w:jc w:val="center"/>
              <w:rPr>
                <w:rFonts w:ascii="Arial" w:hAnsi="Arial" w:cs="Arial"/>
                <w:sz w:val="16"/>
                <w:szCs w:val="16"/>
              </w:rPr>
            </w:pPr>
          </w:p>
        </w:tc>
        <w:tc>
          <w:tcPr>
            <w:tcW w:w="2725" w:type="dxa"/>
            <w:gridSpan w:val="2"/>
            <w:vAlign w:val="center"/>
          </w:tcPr>
          <w:p w14:paraId="2DE567F4" w14:textId="7D2BAB77" w:rsidR="00C92965" w:rsidRPr="006E31C1" w:rsidRDefault="007711A6">
            <w:pPr>
              <w:jc w:val="center"/>
              <w:rPr>
                <w:rFonts w:ascii="Arial" w:hAnsi="Arial" w:cs="Arial"/>
                <w:sz w:val="16"/>
                <w:szCs w:val="16"/>
              </w:rPr>
            </w:pPr>
            <w:r w:rsidRPr="006E31C1">
              <w:rPr>
                <w:rFonts w:ascii="Arial" w:hAnsi="Arial" w:cs="Arial"/>
                <w:sz w:val="16"/>
                <w:szCs w:val="16"/>
              </w:rPr>
              <w:t>Régime :</w:t>
            </w:r>
          </w:p>
        </w:tc>
      </w:tr>
      <w:tr w:rsidR="00C92965" w:rsidRPr="006E31C1" w14:paraId="7D66BD52" w14:textId="77777777">
        <w:trPr>
          <w:jc w:val="center"/>
        </w:trPr>
        <w:tc>
          <w:tcPr>
            <w:tcW w:w="2572" w:type="dxa"/>
            <w:vAlign w:val="center"/>
          </w:tcPr>
          <w:p w14:paraId="0E37610B" w14:textId="77777777" w:rsidR="00C92965" w:rsidRPr="006E31C1" w:rsidRDefault="00C92965">
            <w:pPr>
              <w:jc w:val="center"/>
              <w:rPr>
                <w:rFonts w:ascii="Arial" w:hAnsi="Arial" w:cs="Arial"/>
                <w:sz w:val="16"/>
                <w:szCs w:val="16"/>
              </w:rPr>
            </w:pPr>
          </w:p>
        </w:tc>
        <w:tc>
          <w:tcPr>
            <w:tcW w:w="2725" w:type="dxa"/>
            <w:gridSpan w:val="2"/>
            <w:tcBorders>
              <w:bottom w:val="single" w:sz="6" w:space="0" w:color="000000"/>
            </w:tcBorders>
            <w:vAlign w:val="center"/>
          </w:tcPr>
          <w:p w14:paraId="7D92A23B" w14:textId="77777777" w:rsidR="00C92965" w:rsidRPr="006E31C1" w:rsidRDefault="00C92965">
            <w:pPr>
              <w:jc w:val="center"/>
              <w:rPr>
                <w:rFonts w:ascii="Arial" w:hAnsi="Arial" w:cs="Arial"/>
                <w:sz w:val="16"/>
                <w:szCs w:val="16"/>
              </w:rPr>
            </w:pPr>
          </w:p>
        </w:tc>
      </w:tr>
      <w:tr w:rsidR="00C92965" w:rsidRPr="006E31C1" w14:paraId="1C19E16E" w14:textId="77777777">
        <w:trPr>
          <w:jc w:val="center"/>
        </w:trPr>
        <w:tc>
          <w:tcPr>
            <w:tcW w:w="2572" w:type="dxa"/>
            <w:vAlign w:val="center"/>
          </w:tcPr>
          <w:p w14:paraId="6979F7C9" w14:textId="77777777" w:rsidR="00C92965" w:rsidRPr="006E31C1" w:rsidRDefault="00C92965">
            <w:pPr>
              <w:jc w:val="center"/>
              <w:rPr>
                <w:rFonts w:ascii="Arial" w:hAnsi="Arial" w:cs="Arial"/>
                <w:sz w:val="16"/>
                <w:szCs w:val="16"/>
              </w:rPr>
            </w:pPr>
          </w:p>
        </w:tc>
        <w:tc>
          <w:tcPr>
            <w:tcW w:w="1381" w:type="dxa"/>
            <w:vAlign w:val="center"/>
          </w:tcPr>
          <w:p w14:paraId="0723C3BF" w14:textId="77777777" w:rsidR="00C92965" w:rsidRPr="006E31C1" w:rsidRDefault="00000000">
            <w:pPr>
              <w:jc w:val="center"/>
              <w:rPr>
                <w:rFonts w:ascii="Arial" w:hAnsi="Arial" w:cs="Arial"/>
                <w:sz w:val="16"/>
                <w:szCs w:val="16"/>
              </w:rPr>
            </w:pPr>
            <w:r w:rsidRPr="006E31C1">
              <w:rPr>
                <w:rFonts w:ascii="Arial" w:hAnsi="Arial" w:cs="Arial"/>
                <w:sz w:val="16"/>
                <w:szCs w:val="16"/>
              </w:rPr>
              <w:t>Régime 1</w:t>
            </w:r>
          </w:p>
        </w:tc>
        <w:tc>
          <w:tcPr>
            <w:tcW w:w="1344" w:type="dxa"/>
            <w:vAlign w:val="center"/>
          </w:tcPr>
          <w:p w14:paraId="0219352E" w14:textId="77777777" w:rsidR="00C92965" w:rsidRPr="006E31C1" w:rsidRDefault="00000000">
            <w:pPr>
              <w:jc w:val="center"/>
              <w:rPr>
                <w:rFonts w:ascii="Arial" w:hAnsi="Arial" w:cs="Arial"/>
                <w:sz w:val="16"/>
                <w:szCs w:val="16"/>
              </w:rPr>
            </w:pPr>
            <w:r w:rsidRPr="006E31C1">
              <w:rPr>
                <w:rFonts w:ascii="Arial" w:hAnsi="Arial" w:cs="Arial"/>
                <w:sz w:val="16"/>
                <w:szCs w:val="16"/>
              </w:rPr>
              <w:t>Régime 2</w:t>
            </w:r>
          </w:p>
        </w:tc>
      </w:tr>
      <w:tr w:rsidR="00C92965" w:rsidRPr="006E31C1" w14:paraId="4D5E75E8" w14:textId="77777777">
        <w:trPr>
          <w:jc w:val="center"/>
        </w:trPr>
        <w:tc>
          <w:tcPr>
            <w:tcW w:w="2572" w:type="dxa"/>
            <w:vAlign w:val="center"/>
          </w:tcPr>
          <w:p w14:paraId="27EA09E3" w14:textId="77777777" w:rsidR="00C92965" w:rsidRPr="006E31C1" w:rsidRDefault="00C92965">
            <w:pPr>
              <w:jc w:val="center"/>
              <w:rPr>
                <w:rFonts w:ascii="Arial" w:hAnsi="Arial" w:cs="Arial"/>
                <w:sz w:val="16"/>
                <w:szCs w:val="16"/>
              </w:rPr>
            </w:pPr>
          </w:p>
        </w:tc>
        <w:tc>
          <w:tcPr>
            <w:tcW w:w="1381" w:type="dxa"/>
            <w:vAlign w:val="center"/>
          </w:tcPr>
          <w:p w14:paraId="588A1A89" w14:textId="77777777" w:rsidR="00C92965" w:rsidRPr="006E31C1" w:rsidRDefault="00000000">
            <w:pPr>
              <w:jc w:val="center"/>
              <w:rPr>
                <w:rFonts w:ascii="Arial" w:hAnsi="Arial" w:cs="Arial"/>
                <w:sz w:val="16"/>
                <w:szCs w:val="16"/>
              </w:rPr>
            </w:pPr>
            <w:r w:rsidRPr="006E31C1">
              <w:rPr>
                <w:rFonts w:ascii="Arial" w:hAnsi="Arial" w:cs="Arial"/>
                <w:sz w:val="16"/>
                <w:szCs w:val="16"/>
              </w:rPr>
              <w:t>(1)</w:t>
            </w:r>
          </w:p>
        </w:tc>
        <w:tc>
          <w:tcPr>
            <w:tcW w:w="1344" w:type="dxa"/>
            <w:vAlign w:val="center"/>
          </w:tcPr>
          <w:p w14:paraId="4528E824" w14:textId="77777777" w:rsidR="00C92965" w:rsidRPr="006E31C1" w:rsidRDefault="00000000">
            <w:pPr>
              <w:jc w:val="center"/>
              <w:rPr>
                <w:rFonts w:ascii="Arial" w:hAnsi="Arial" w:cs="Arial"/>
                <w:sz w:val="16"/>
                <w:szCs w:val="16"/>
              </w:rPr>
            </w:pPr>
            <w:r w:rsidRPr="006E31C1">
              <w:rPr>
                <w:rFonts w:ascii="Arial" w:hAnsi="Arial" w:cs="Arial"/>
                <w:sz w:val="16"/>
                <w:szCs w:val="16"/>
              </w:rPr>
              <w:t>(2)</w:t>
            </w:r>
          </w:p>
        </w:tc>
      </w:tr>
      <w:tr w:rsidR="00C92965" w:rsidRPr="006E31C1" w14:paraId="568D1534" w14:textId="77777777">
        <w:trPr>
          <w:jc w:val="center"/>
        </w:trPr>
        <w:tc>
          <w:tcPr>
            <w:tcW w:w="5297" w:type="dxa"/>
            <w:gridSpan w:val="3"/>
            <w:tcBorders>
              <w:bottom w:val="single" w:sz="6" w:space="0" w:color="000000"/>
            </w:tcBorders>
            <w:vAlign w:val="center"/>
          </w:tcPr>
          <w:p w14:paraId="3BDE3467" w14:textId="77777777" w:rsidR="00C92965" w:rsidRPr="006E31C1" w:rsidRDefault="00C92965">
            <w:pPr>
              <w:jc w:val="center"/>
              <w:rPr>
                <w:rFonts w:ascii="Arial" w:hAnsi="Arial" w:cs="Arial"/>
                <w:sz w:val="16"/>
                <w:szCs w:val="16"/>
              </w:rPr>
            </w:pPr>
          </w:p>
        </w:tc>
      </w:tr>
      <w:tr w:rsidR="00C92965" w:rsidRPr="006E31C1" w14:paraId="405DC222" w14:textId="77777777">
        <w:trPr>
          <w:jc w:val="center"/>
        </w:trPr>
        <w:tc>
          <w:tcPr>
            <w:tcW w:w="2572" w:type="dxa"/>
            <w:vAlign w:val="center"/>
          </w:tcPr>
          <w:p w14:paraId="7D735829" w14:textId="77777777" w:rsidR="00C92965" w:rsidRPr="006E31C1" w:rsidRDefault="00C92965">
            <w:pPr>
              <w:rPr>
                <w:rFonts w:ascii="Arial" w:hAnsi="Arial" w:cs="Arial"/>
                <w:sz w:val="16"/>
                <w:szCs w:val="16"/>
              </w:rPr>
            </w:pPr>
          </w:p>
        </w:tc>
        <w:tc>
          <w:tcPr>
            <w:tcW w:w="1381" w:type="dxa"/>
            <w:vAlign w:val="center"/>
          </w:tcPr>
          <w:p w14:paraId="4D0A08CA" w14:textId="77777777" w:rsidR="00C92965" w:rsidRPr="006E31C1" w:rsidRDefault="00C92965">
            <w:pPr>
              <w:jc w:val="center"/>
              <w:rPr>
                <w:rFonts w:ascii="Arial" w:hAnsi="Arial" w:cs="Arial"/>
                <w:sz w:val="16"/>
                <w:szCs w:val="16"/>
              </w:rPr>
            </w:pPr>
          </w:p>
        </w:tc>
        <w:tc>
          <w:tcPr>
            <w:tcW w:w="1344" w:type="dxa"/>
            <w:vAlign w:val="center"/>
          </w:tcPr>
          <w:p w14:paraId="15001CCE" w14:textId="77777777" w:rsidR="00C92965" w:rsidRPr="006E31C1" w:rsidRDefault="00C92965">
            <w:pPr>
              <w:jc w:val="center"/>
              <w:rPr>
                <w:rFonts w:ascii="Arial" w:hAnsi="Arial" w:cs="Arial"/>
                <w:sz w:val="16"/>
                <w:szCs w:val="16"/>
              </w:rPr>
            </w:pPr>
          </w:p>
        </w:tc>
      </w:tr>
      <w:tr w:rsidR="00C92965" w:rsidRPr="006E31C1" w14:paraId="2879C5D5" w14:textId="77777777">
        <w:trPr>
          <w:jc w:val="center"/>
        </w:trPr>
        <w:tc>
          <w:tcPr>
            <w:tcW w:w="2572" w:type="dxa"/>
            <w:vAlign w:val="center"/>
          </w:tcPr>
          <w:p w14:paraId="67ED6E23" w14:textId="77777777" w:rsidR="00C92965" w:rsidRPr="006E31C1" w:rsidRDefault="00000000">
            <w:pPr>
              <w:jc w:val="center"/>
              <w:rPr>
                <w:rFonts w:ascii="Arial" w:hAnsi="Arial" w:cs="Arial"/>
                <w:sz w:val="16"/>
                <w:szCs w:val="16"/>
              </w:rPr>
            </w:pPr>
            <w:r w:rsidRPr="006E31C1">
              <w:rPr>
                <w:rFonts w:ascii="Arial" w:hAnsi="Arial" w:cs="Arial"/>
                <w:sz w:val="16"/>
                <w:szCs w:val="16"/>
              </w:rPr>
              <w:t>CPI_YOY_1(S)</w:t>
            </w:r>
          </w:p>
        </w:tc>
        <w:tc>
          <w:tcPr>
            <w:tcW w:w="1381" w:type="dxa"/>
            <w:vAlign w:val="center"/>
          </w:tcPr>
          <w:p w14:paraId="1AA7221D" w14:textId="77777777" w:rsidR="00C92965" w:rsidRPr="006E31C1" w:rsidRDefault="00000000">
            <w:pPr>
              <w:jc w:val="center"/>
              <w:rPr>
                <w:rFonts w:ascii="Arial" w:hAnsi="Arial" w:cs="Arial"/>
                <w:sz w:val="16"/>
                <w:szCs w:val="16"/>
              </w:rPr>
            </w:pPr>
            <w:r w:rsidRPr="006E31C1">
              <w:rPr>
                <w:rFonts w:ascii="Arial" w:hAnsi="Arial" w:cs="Arial"/>
                <w:sz w:val="16"/>
                <w:szCs w:val="16"/>
              </w:rPr>
              <w:t>1.3059</w:t>
            </w:r>
            <w:r w:rsidRPr="006E31C1">
              <w:rPr>
                <w:rFonts w:ascii="Arial" w:hAnsi="Arial" w:cs="Arial"/>
                <w:sz w:val="16"/>
                <w:szCs w:val="16"/>
                <w:vertAlign w:val="superscript"/>
              </w:rPr>
              <w:t>***</w:t>
            </w:r>
          </w:p>
        </w:tc>
        <w:tc>
          <w:tcPr>
            <w:tcW w:w="1344" w:type="dxa"/>
            <w:vAlign w:val="center"/>
          </w:tcPr>
          <w:p w14:paraId="18D46D82" w14:textId="77777777" w:rsidR="00C92965" w:rsidRPr="006E31C1" w:rsidRDefault="00000000">
            <w:pPr>
              <w:jc w:val="center"/>
              <w:rPr>
                <w:rFonts w:ascii="Arial" w:hAnsi="Arial" w:cs="Arial"/>
                <w:sz w:val="16"/>
                <w:szCs w:val="16"/>
              </w:rPr>
            </w:pPr>
            <w:r w:rsidRPr="006E31C1">
              <w:rPr>
                <w:rFonts w:ascii="Arial" w:hAnsi="Arial" w:cs="Arial"/>
                <w:sz w:val="16"/>
                <w:szCs w:val="16"/>
              </w:rPr>
              <w:t>1.6115</w:t>
            </w:r>
            <w:r w:rsidRPr="006E31C1">
              <w:rPr>
                <w:rFonts w:ascii="Arial" w:hAnsi="Arial" w:cs="Arial"/>
                <w:sz w:val="16"/>
                <w:szCs w:val="16"/>
                <w:vertAlign w:val="superscript"/>
              </w:rPr>
              <w:t>***</w:t>
            </w:r>
          </w:p>
        </w:tc>
      </w:tr>
      <w:tr w:rsidR="00C92965" w:rsidRPr="006E31C1" w14:paraId="35E4BC6D" w14:textId="77777777">
        <w:trPr>
          <w:jc w:val="center"/>
        </w:trPr>
        <w:tc>
          <w:tcPr>
            <w:tcW w:w="2572" w:type="dxa"/>
            <w:vAlign w:val="center"/>
          </w:tcPr>
          <w:p w14:paraId="62A7394B" w14:textId="77777777" w:rsidR="00C92965" w:rsidRPr="006E31C1" w:rsidRDefault="00C92965">
            <w:pPr>
              <w:jc w:val="center"/>
              <w:rPr>
                <w:rFonts w:ascii="Arial" w:hAnsi="Arial" w:cs="Arial"/>
                <w:sz w:val="16"/>
                <w:szCs w:val="16"/>
              </w:rPr>
            </w:pPr>
          </w:p>
        </w:tc>
        <w:tc>
          <w:tcPr>
            <w:tcW w:w="1381" w:type="dxa"/>
            <w:vAlign w:val="center"/>
          </w:tcPr>
          <w:p w14:paraId="444DE5EF" w14:textId="77777777" w:rsidR="00C92965" w:rsidRPr="006E31C1" w:rsidRDefault="00000000">
            <w:pPr>
              <w:jc w:val="center"/>
              <w:rPr>
                <w:rFonts w:ascii="Arial" w:hAnsi="Arial" w:cs="Arial"/>
                <w:sz w:val="16"/>
                <w:szCs w:val="16"/>
              </w:rPr>
            </w:pPr>
            <w:r w:rsidRPr="006E31C1">
              <w:rPr>
                <w:rFonts w:ascii="Arial" w:hAnsi="Arial" w:cs="Arial"/>
                <w:sz w:val="16"/>
                <w:szCs w:val="16"/>
              </w:rPr>
              <w:t>(0.0599)</w:t>
            </w:r>
          </w:p>
        </w:tc>
        <w:tc>
          <w:tcPr>
            <w:tcW w:w="1344" w:type="dxa"/>
            <w:vAlign w:val="center"/>
          </w:tcPr>
          <w:p w14:paraId="7B7AED0B" w14:textId="77777777" w:rsidR="00C92965" w:rsidRPr="006E31C1" w:rsidRDefault="00000000">
            <w:pPr>
              <w:jc w:val="center"/>
              <w:rPr>
                <w:rFonts w:ascii="Arial" w:hAnsi="Arial" w:cs="Arial"/>
                <w:sz w:val="16"/>
                <w:szCs w:val="16"/>
              </w:rPr>
            </w:pPr>
            <w:r w:rsidRPr="006E31C1">
              <w:rPr>
                <w:rFonts w:ascii="Arial" w:hAnsi="Arial" w:cs="Arial"/>
                <w:sz w:val="16"/>
                <w:szCs w:val="16"/>
              </w:rPr>
              <w:t>(0.2691)</w:t>
            </w:r>
          </w:p>
        </w:tc>
      </w:tr>
      <w:tr w:rsidR="00C92965" w:rsidRPr="006E31C1" w14:paraId="023B6C17" w14:textId="77777777">
        <w:trPr>
          <w:jc w:val="center"/>
        </w:trPr>
        <w:tc>
          <w:tcPr>
            <w:tcW w:w="2572" w:type="dxa"/>
            <w:vAlign w:val="center"/>
          </w:tcPr>
          <w:p w14:paraId="231D7E23" w14:textId="77777777" w:rsidR="00C92965" w:rsidRPr="006E31C1" w:rsidRDefault="00C92965">
            <w:pPr>
              <w:jc w:val="center"/>
              <w:rPr>
                <w:rFonts w:ascii="Arial" w:hAnsi="Arial" w:cs="Arial"/>
                <w:sz w:val="16"/>
                <w:szCs w:val="16"/>
              </w:rPr>
            </w:pPr>
          </w:p>
        </w:tc>
        <w:tc>
          <w:tcPr>
            <w:tcW w:w="1381" w:type="dxa"/>
            <w:vAlign w:val="center"/>
          </w:tcPr>
          <w:p w14:paraId="3D7CC4B4" w14:textId="77777777" w:rsidR="00C92965" w:rsidRPr="006E31C1" w:rsidRDefault="00C92965">
            <w:pPr>
              <w:jc w:val="center"/>
              <w:rPr>
                <w:rFonts w:ascii="Arial" w:hAnsi="Arial" w:cs="Arial"/>
                <w:sz w:val="16"/>
                <w:szCs w:val="16"/>
              </w:rPr>
            </w:pPr>
          </w:p>
        </w:tc>
        <w:tc>
          <w:tcPr>
            <w:tcW w:w="1344" w:type="dxa"/>
            <w:vAlign w:val="center"/>
          </w:tcPr>
          <w:p w14:paraId="76930BDF" w14:textId="77777777" w:rsidR="00C92965" w:rsidRPr="006E31C1" w:rsidRDefault="00C92965">
            <w:pPr>
              <w:jc w:val="center"/>
              <w:rPr>
                <w:rFonts w:ascii="Arial" w:hAnsi="Arial" w:cs="Arial"/>
                <w:sz w:val="16"/>
                <w:szCs w:val="16"/>
              </w:rPr>
            </w:pPr>
          </w:p>
        </w:tc>
      </w:tr>
      <w:tr w:rsidR="00C92965" w:rsidRPr="006E31C1" w14:paraId="0E19A720" w14:textId="77777777">
        <w:trPr>
          <w:jc w:val="center"/>
        </w:trPr>
        <w:tc>
          <w:tcPr>
            <w:tcW w:w="2572" w:type="dxa"/>
            <w:vAlign w:val="center"/>
          </w:tcPr>
          <w:p w14:paraId="3CAE6E6B" w14:textId="77777777" w:rsidR="00C92965" w:rsidRPr="006E31C1" w:rsidRDefault="00000000">
            <w:pPr>
              <w:jc w:val="center"/>
              <w:rPr>
                <w:rFonts w:ascii="Arial" w:hAnsi="Arial" w:cs="Arial"/>
                <w:sz w:val="16"/>
                <w:szCs w:val="16"/>
              </w:rPr>
            </w:pPr>
            <w:r w:rsidRPr="006E31C1">
              <w:rPr>
                <w:rFonts w:ascii="Arial" w:hAnsi="Arial" w:cs="Arial"/>
                <w:sz w:val="16"/>
                <w:szCs w:val="16"/>
              </w:rPr>
              <w:t>CPI_YOY_2(S)</w:t>
            </w:r>
          </w:p>
        </w:tc>
        <w:tc>
          <w:tcPr>
            <w:tcW w:w="1381" w:type="dxa"/>
            <w:vAlign w:val="center"/>
          </w:tcPr>
          <w:p w14:paraId="0ACEE454" w14:textId="77777777" w:rsidR="00C92965" w:rsidRPr="006E31C1" w:rsidRDefault="00000000">
            <w:pPr>
              <w:jc w:val="center"/>
              <w:rPr>
                <w:rFonts w:ascii="Arial" w:hAnsi="Arial" w:cs="Arial"/>
                <w:sz w:val="16"/>
                <w:szCs w:val="16"/>
              </w:rPr>
            </w:pPr>
            <w:r w:rsidRPr="006E31C1">
              <w:rPr>
                <w:rFonts w:ascii="Arial" w:hAnsi="Arial" w:cs="Arial"/>
                <w:sz w:val="16"/>
                <w:szCs w:val="16"/>
              </w:rPr>
              <w:t>-0.3355</w:t>
            </w:r>
            <w:r w:rsidRPr="006E31C1">
              <w:rPr>
                <w:rFonts w:ascii="Arial" w:hAnsi="Arial" w:cs="Arial"/>
                <w:sz w:val="16"/>
                <w:szCs w:val="16"/>
                <w:vertAlign w:val="superscript"/>
              </w:rPr>
              <w:t>***</w:t>
            </w:r>
          </w:p>
        </w:tc>
        <w:tc>
          <w:tcPr>
            <w:tcW w:w="1344" w:type="dxa"/>
            <w:vAlign w:val="center"/>
          </w:tcPr>
          <w:p w14:paraId="3E1A32BF" w14:textId="77777777" w:rsidR="00C92965" w:rsidRPr="006E31C1" w:rsidRDefault="00000000">
            <w:pPr>
              <w:jc w:val="center"/>
              <w:rPr>
                <w:rFonts w:ascii="Arial" w:hAnsi="Arial" w:cs="Arial"/>
                <w:sz w:val="16"/>
                <w:szCs w:val="16"/>
              </w:rPr>
            </w:pPr>
            <w:r w:rsidRPr="006E31C1">
              <w:rPr>
                <w:rFonts w:ascii="Arial" w:hAnsi="Arial" w:cs="Arial"/>
                <w:sz w:val="16"/>
                <w:szCs w:val="16"/>
              </w:rPr>
              <w:t>-0.8241</w:t>
            </w:r>
            <w:r w:rsidRPr="006E31C1">
              <w:rPr>
                <w:rFonts w:ascii="Arial" w:hAnsi="Arial" w:cs="Arial"/>
                <w:sz w:val="16"/>
                <w:szCs w:val="16"/>
                <w:vertAlign w:val="superscript"/>
              </w:rPr>
              <w:t>*</w:t>
            </w:r>
          </w:p>
        </w:tc>
      </w:tr>
      <w:tr w:rsidR="00C92965" w:rsidRPr="006E31C1" w14:paraId="40DAA63D" w14:textId="77777777">
        <w:trPr>
          <w:jc w:val="center"/>
        </w:trPr>
        <w:tc>
          <w:tcPr>
            <w:tcW w:w="2572" w:type="dxa"/>
            <w:vAlign w:val="center"/>
          </w:tcPr>
          <w:p w14:paraId="092D3305" w14:textId="77777777" w:rsidR="00C92965" w:rsidRPr="006E31C1" w:rsidRDefault="00C92965">
            <w:pPr>
              <w:jc w:val="center"/>
              <w:rPr>
                <w:rFonts w:ascii="Arial" w:hAnsi="Arial" w:cs="Arial"/>
                <w:sz w:val="16"/>
                <w:szCs w:val="16"/>
              </w:rPr>
            </w:pPr>
          </w:p>
        </w:tc>
        <w:tc>
          <w:tcPr>
            <w:tcW w:w="1381" w:type="dxa"/>
            <w:vAlign w:val="center"/>
          </w:tcPr>
          <w:p w14:paraId="260B09BB" w14:textId="77777777" w:rsidR="00C92965" w:rsidRPr="006E31C1" w:rsidRDefault="00000000">
            <w:pPr>
              <w:jc w:val="center"/>
              <w:rPr>
                <w:rFonts w:ascii="Arial" w:hAnsi="Arial" w:cs="Arial"/>
                <w:sz w:val="16"/>
                <w:szCs w:val="16"/>
              </w:rPr>
            </w:pPr>
            <w:r w:rsidRPr="006E31C1">
              <w:rPr>
                <w:rFonts w:ascii="Arial" w:hAnsi="Arial" w:cs="Arial"/>
                <w:sz w:val="16"/>
                <w:szCs w:val="16"/>
              </w:rPr>
              <w:t>(0.010)</w:t>
            </w:r>
          </w:p>
        </w:tc>
        <w:tc>
          <w:tcPr>
            <w:tcW w:w="1344" w:type="dxa"/>
            <w:vAlign w:val="center"/>
          </w:tcPr>
          <w:p w14:paraId="10810648" w14:textId="77777777" w:rsidR="00C92965" w:rsidRPr="006E31C1" w:rsidRDefault="00000000">
            <w:pPr>
              <w:jc w:val="center"/>
              <w:rPr>
                <w:rFonts w:ascii="Arial" w:hAnsi="Arial" w:cs="Arial"/>
                <w:sz w:val="16"/>
                <w:szCs w:val="16"/>
              </w:rPr>
            </w:pPr>
            <w:r w:rsidRPr="006E31C1">
              <w:rPr>
                <w:rFonts w:ascii="Arial" w:hAnsi="Arial" w:cs="Arial"/>
                <w:sz w:val="16"/>
                <w:szCs w:val="16"/>
              </w:rPr>
              <w:t>(0.3547)</w:t>
            </w:r>
          </w:p>
        </w:tc>
      </w:tr>
      <w:tr w:rsidR="00C92965" w:rsidRPr="006E31C1" w14:paraId="25EC0964" w14:textId="77777777">
        <w:trPr>
          <w:jc w:val="center"/>
        </w:trPr>
        <w:tc>
          <w:tcPr>
            <w:tcW w:w="2572" w:type="dxa"/>
            <w:vAlign w:val="center"/>
          </w:tcPr>
          <w:p w14:paraId="1F2840D6" w14:textId="77777777" w:rsidR="00C92965" w:rsidRPr="006E31C1" w:rsidRDefault="00C92965">
            <w:pPr>
              <w:jc w:val="center"/>
              <w:rPr>
                <w:rFonts w:ascii="Arial" w:hAnsi="Arial" w:cs="Arial"/>
                <w:sz w:val="16"/>
                <w:szCs w:val="16"/>
              </w:rPr>
            </w:pPr>
          </w:p>
        </w:tc>
        <w:tc>
          <w:tcPr>
            <w:tcW w:w="1381" w:type="dxa"/>
            <w:vAlign w:val="center"/>
          </w:tcPr>
          <w:p w14:paraId="664C20F0" w14:textId="77777777" w:rsidR="00C92965" w:rsidRPr="006E31C1" w:rsidRDefault="00C92965">
            <w:pPr>
              <w:jc w:val="center"/>
              <w:rPr>
                <w:rFonts w:ascii="Arial" w:hAnsi="Arial" w:cs="Arial"/>
                <w:sz w:val="16"/>
                <w:szCs w:val="16"/>
              </w:rPr>
            </w:pPr>
          </w:p>
        </w:tc>
        <w:tc>
          <w:tcPr>
            <w:tcW w:w="1344" w:type="dxa"/>
            <w:vAlign w:val="center"/>
          </w:tcPr>
          <w:p w14:paraId="1198972B" w14:textId="77777777" w:rsidR="00C92965" w:rsidRPr="006E31C1" w:rsidRDefault="00C92965">
            <w:pPr>
              <w:jc w:val="center"/>
              <w:rPr>
                <w:rFonts w:ascii="Arial" w:hAnsi="Arial" w:cs="Arial"/>
                <w:sz w:val="16"/>
                <w:szCs w:val="16"/>
              </w:rPr>
            </w:pPr>
          </w:p>
        </w:tc>
      </w:tr>
      <w:tr w:rsidR="00C92965" w:rsidRPr="006E31C1" w14:paraId="2795A3BC" w14:textId="77777777">
        <w:trPr>
          <w:jc w:val="center"/>
        </w:trPr>
        <w:tc>
          <w:tcPr>
            <w:tcW w:w="2572" w:type="dxa"/>
            <w:vAlign w:val="center"/>
          </w:tcPr>
          <w:p w14:paraId="6B3100B7" w14:textId="77777777" w:rsidR="00C92965" w:rsidRPr="006E31C1" w:rsidRDefault="00000000">
            <w:pPr>
              <w:jc w:val="center"/>
              <w:rPr>
                <w:rFonts w:ascii="Arial" w:hAnsi="Arial" w:cs="Arial"/>
                <w:sz w:val="16"/>
                <w:szCs w:val="16"/>
              </w:rPr>
            </w:pPr>
            <w:r w:rsidRPr="006E31C1">
              <w:rPr>
                <w:rFonts w:ascii="Arial" w:hAnsi="Arial" w:cs="Arial"/>
                <w:sz w:val="16"/>
                <w:szCs w:val="16"/>
              </w:rPr>
              <w:t>Intercept</w:t>
            </w:r>
          </w:p>
        </w:tc>
        <w:tc>
          <w:tcPr>
            <w:tcW w:w="1381" w:type="dxa"/>
            <w:vAlign w:val="center"/>
          </w:tcPr>
          <w:p w14:paraId="51F55FF2" w14:textId="77777777" w:rsidR="00C92965" w:rsidRPr="006E31C1" w:rsidRDefault="00000000">
            <w:pPr>
              <w:jc w:val="center"/>
              <w:rPr>
                <w:rFonts w:ascii="Arial" w:hAnsi="Arial" w:cs="Arial"/>
                <w:sz w:val="16"/>
                <w:szCs w:val="16"/>
              </w:rPr>
            </w:pPr>
            <w:r w:rsidRPr="006E31C1">
              <w:rPr>
                <w:rFonts w:ascii="Arial" w:hAnsi="Arial" w:cs="Arial"/>
                <w:sz w:val="16"/>
                <w:szCs w:val="16"/>
              </w:rPr>
              <w:t>0.0574</w:t>
            </w:r>
          </w:p>
        </w:tc>
        <w:tc>
          <w:tcPr>
            <w:tcW w:w="1344" w:type="dxa"/>
            <w:vAlign w:val="center"/>
          </w:tcPr>
          <w:p w14:paraId="4D6E9D4E" w14:textId="77777777" w:rsidR="00C92965" w:rsidRPr="006E31C1" w:rsidRDefault="00000000">
            <w:pPr>
              <w:jc w:val="center"/>
              <w:rPr>
                <w:rFonts w:ascii="Arial" w:hAnsi="Arial" w:cs="Arial"/>
                <w:sz w:val="16"/>
                <w:szCs w:val="16"/>
              </w:rPr>
            </w:pPr>
            <w:r w:rsidRPr="006E31C1">
              <w:rPr>
                <w:rFonts w:ascii="Arial" w:hAnsi="Arial" w:cs="Arial"/>
                <w:sz w:val="16"/>
                <w:szCs w:val="16"/>
              </w:rPr>
              <w:t>0.6514</w:t>
            </w:r>
          </w:p>
        </w:tc>
      </w:tr>
      <w:tr w:rsidR="00C92965" w:rsidRPr="006E31C1" w14:paraId="0CA27DFD" w14:textId="77777777">
        <w:trPr>
          <w:jc w:val="center"/>
        </w:trPr>
        <w:tc>
          <w:tcPr>
            <w:tcW w:w="2572" w:type="dxa"/>
            <w:vAlign w:val="center"/>
          </w:tcPr>
          <w:p w14:paraId="32B73A71" w14:textId="77777777" w:rsidR="00C92965" w:rsidRPr="006E31C1" w:rsidRDefault="00C92965">
            <w:pPr>
              <w:jc w:val="center"/>
              <w:rPr>
                <w:rFonts w:ascii="Arial" w:hAnsi="Arial" w:cs="Arial"/>
                <w:sz w:val="16"/>
                <w:szCs w:val="16"/>
              </w:rPr>
            </w:pPr>
          </w:p>
        </w:tc>
        <w:tc>
          <w:tcPr>
            <w:tcW w:w="1381" w:type="dxa"/>
            <w:vAlign w:val="center"/>
          </w:tcPr>
          <w:p w14:paraId="3A49BE0B" w14:textId="77777777" w:rsidR="00C92965" w:rsidRPr="006E31C1" w:rsidRDefault="00000000">
            <w:pPr>
              <w:jc w:val="center"/>
              <w:rPr>
                <w:rFonts w:ascii="Arial" w:hAnsi="Arial" w:cs="Arial"/>
                <w:sz w:val="16"/>
                <w:szCs w:val="16"/>
              </w:rPr>
            </w:pPr>
            <w:r w:rsidRPr="006E31C1">
              <w:rPr>
                <w:rFonts w:ascii="Arial" w:hAnsi="Arial" w:cs="Arial"/>
                <w:sz w:val="16"/>
                <w:szCs w:val="16"/>
              </w:rPr>
              <w:t>(0.0411)</w:t>
            </w:r>
          </w:p>
        </w:tc>
        <w:tc>
          <w:tcPr>
            <w:tcW w:w="1344" w:type="dxa"/>
            <w:vAlign w:val="center"/>
          </w:tcPr>
          <w:p w14:paraId="3A0C804B" w14:textId="77777777" w:rsidR="00C92965" w:rsidRPr="006E31C1" w:rsidRDefault="00000000">
            <w:pPr>
              <w:jc w:val="center"/>
              <w:rPr>
                <w:rFonts w:ascii="Arial" w:hAnsi="Arial" w:cs="Arial"/>
                <w:sz w:val="16"/>
                <w:szCs w:val="16"/>
              </w:rPr>
            </w:pPr>
            <w:r w:rsidRPr="006E31C1">
              <w:rPr>
                <w:rFonts w:ascii="Arial" w:hAnsi="Arial" w:cs="Arial"/>
                <w:sz w:val="16"/>
                <w:szCs w:val="16"/>
              </w:rPr>
              <w:t>(0.4907)</w:t>
            </w:r>
          </w:p>
        </w:tc>
      </w:tr>
      <w:tr w:rsidR="00C92965" w:rsidRPr="006E31C1" w14:paraId="2D21AD0C" w14:textId="77777777">
        <w:trPr>
          <w:jc w:val="center"/>
        </w:trPr>
        <w:tc>
          <w:tcPr>
            <w:tcW w:w="2572" w:type="dxa"/>
            <w:vAlign w:val="center"/>
          </w:tcPr>
          <w:p w14:paraId="50C803FD" w14:textId="77777777" w:rsidR="00C92965" w:rsidRPr="006E31C1" w:rsidRDefault="00C92965">
            <w:pPr>
              <w:jc w:val="center"/>
              <w:rPr>
                <w:rFonts w:ascii="Arial" w:hAnsi="Arial" w:cs="Arial"/>
                <w:sz w:val="16"/>
                <w:szCs w:val="16"/>
              </w:rPr>
            </w:pPr>
          </w:p>
        </w:tc>
        <w:tc>
          <w:tcPr>
            <w:tcW w:w="1381" w:type="dxa"/>
            <w:vAlign w:val="center"/>
          </w:tcPr>
          <w:p w14:paraId="244DD9C7" w14:textId="77777777" w:rsidR="00C92965" w:rsidRPr="006E31C1" w:rsidRDefault="00C92965">
            <w:pPr>
              <w:jc w:val="center"/>
              <w:rPr>
                <w:rFonts w:ascii="Arial" w:hAnsi="Arial" w:cs="Arial"/>
                <w:sz w:val="16"/>
                <w:szCs w:val="16"/>
              </w:rPr>
            </w:pPr>
          </w:p>
        </w:tc>
        <w:tc>
          <w:tcPr>
            <w:tcW w:w="1344" w:type="dxa"/>
            <w:vAlign w:val="center"/>
          </w:tcPr>
          <w:p w14:paraId="59A86B1A" w14:textId="77777777" w:rsidR="00C92965" w:rsidRPr="006E31C1" w:rsidRDefault="00C92965">
            <w:pPr>
              <w:jc w:val="center"/>
              <w:rPr>
                <w:rFonts w:ascii="Arial" w:hAnsi="Arial" w:cs="Arial"/>
                <w:sz w:val="16"/>
                <w:szCs w:val="16"/>
              </w:rPr>
            </w:pPr>
          </w:p>
        </w:tc>
      </w:tr>
      <w:tr w:rsidR="00C92965" w:rsidRPr="006E31C1" w14:paraId="78BC35A6" w14:textId="77777777">
        <w:trPr>
          <w:jc w:val="center"/>
        </w:trPr>
        <w:tc>
          <w:tcPr>
            <w:tcW w:w="5297" w:type="dxa"/>
            <w:gridSpan w:val="3"/>
            <w:tcBorders>
              <w:bottom w:val="single" w:sz="6" w:space="0" w:color="000000"/>
            </w:tcBorders>
            <w:vAlign w:val="center"/>
          </w:tcPr>
          <w:p w14:paraId="7FF86EB6" w14:textId="77777777" w:rsidR="00C92965" w:rsidRPr="006E31C1" w:rsidRDefault="00C92965">
            <w:pPr>
              <w:jc w:val="center"/>
              <w:rPr>
                <w:rFonts w:ascii="Arial" w:hAnsi="Arial" w:cs="Arial"/>
                <w:sz w:val="16"/>
                <w:szCs w:val="16"/>
              </w:rPr>
            </w:pPr>
          </w:p>
        </w:tc>
      </w:tr>
      <w:tr w:rsidR="00C92965" w:rsidRPr="006E31C1" w14:paraId="787AB618" w14:textId="77777777">
        <w:trPr>
          <w:jc w:val="center"/>
        </w:trPr>
        <w:tc>
          <w:tcPr>
            <w:tcW w:w="2572" w:type="dxa"/>
            <w:vAlign w:val="center"/>
          </w:tcPr>
          <w:p w14:paraId="6763131E" w14:textId="77777777" w:rsidR="00C92965" w:rsidRPr="006E31C1" w:rsidRDefault="00000000">
            <w:pPr>
              <w:jc w:val="center"/>
              <w:rPr>
                <w:rFonts w:ascii="Arial" w:hAnsi="Arial" w:cs="Arial"/>
                <w:sz w:val="16"/>
                <w:szCs w:val="16"/>
              </w:rPr>
            </w:pPr>
            <w:r w:rsidRPr="006E31C1">
              <w:rPr>
                <w:rFonts w:ascii="Arial" w:hAnsi="Arial" w:cs="Arial"/>
                <w:sz w:val="16"/>
                <w:szCs w:val="16"/>
              </w:rPr>
              <w:t>Observations</w:t>
            </w:r>
          </w:p>
        </w:tc>
        <w:tc>
          <w:tcPr>
            <w:tcW w:w="1381" w:type="dxa"/>
            <w:vAlign w:val="center"/>
          </w:tcPr>
          <w:p w14:paraId="5EE162CD" w14:textId="77777777" w:rsidR="00C92965" w:rsidRPr="006E31C1" w:rsidRDefault="00000000">
            <w:pPr>
              <w:jc w:val="center"/>
              <w:rPr>
                <w:rFonts w:ascii="Arial" w:hAnsi="Arial" w:cs="Arial"/>
                <w:sz w:val="16"/>
                <w:szCs w:val="16"/>
              </w:rPr>
            </w:pPr>
            <w:r w:rsidRPr="006E31C1">
              <w:rPr>
                <w:rFonts w:ascii="Arial" w:hAnsi="Arial" w:cs="Arial"/>
                <w:sz w:val="16"/>
                <w:szCs w:val="16"/>
              </w:rPr>
              <w:t>286</w:t>
            </w:r>
          </w:p>
        </w:tc>
        <w:tc>
          <w:tcPr>
            <w:tcW w:w="1344" w:type="dxa"/>
            <w:vAlign w:val="center"/>
          </w:tcPr>
          <w:p w14:paraId="07984AD0" w14:textId="77777777" w:rsidR="00C92965" w:rsidRPr="006E31C1" w:rsidRDefault="00000000">
            <w:pPr>
              <w:jc w:val="center"/>
              <w:rPr>
                <w:rFonts w:ascii="Arial" w:hAnsi="Arial" w:cs="Arial"/>
                <w:sz w:val="16"/>
                <w:szCs w:val="16"/>
              </w:rPr>
            </w:pPr>
            <w:r w:rsidRPr="006E31C1">
              <w:rPr>
                <w:rFonts w:ascii="Arial" w:hAnsi="Arial" w:cs="Arial"/>
                <w:sz w:val="16"/>
                <w:szCs w:val="16"/>
              </w:rPr>
              <w:t>286</w:t>
            </w:r>
          </w:p>
        </w:tc>
      </w:tr>
      <w:tr w:rsidR="00C92965" w:rsidRPr="006E31C1" w14:paraId="2EBC19FD" w14:textId="77777777">
        <w:trPr>
          <w:jc w:val="center"/>
        </w:trPr>
        <w:tc>
          <w:tcPr>
            <w:tcW w:w="2572" w:type="dxa"/>
            <w:vAlign w:val="center"/>
          </w:tcPr>
          <w:p w14:paraId="16A8C130" w14:textId="77777777" w:rsidR="00C92965" w:rsidRPr="006E31C1" w:rsidRDefault="00000000">
            <w:pPr>
              <w:jc w:val="center"/>
              <w:rPr>
                <w:rFonts w:ascii="Arial" w:hAnsi="Arial" w:cs="Arial"/>
                <w:sz w:val="16"/>
                <w:szCs w:val="16"/>
              </w:rPr>
            </w:pPr>
            <w:proofErr w:type="spellStart"/>
            <w:r w:rsidRPr="006E31C1">
              <w:rPr>
                <w:rFonts w:ascii="Arial" w:hAnsi="Arial" w:cs="Arial"/>
                <w:sz w:val="16"/>
                <w:szCs w:val="16"/>
              </w:rPr>
              <w:t>Residual</w:t>
            </w:r>
            <w:proofErr w:type="spellEnd"/>
            <w:r w:rsidRPr="006E31C1">
              <w:rPr>
                <w:rFonts w:ascii="Arial" w:hAnsi="Arial" w:cs="Arial"/>
                <w:sz w:val="16"/>
                <w:szCs w:val="16"/>
              </w:rPr>
              <w:t xml:space="preserve"> Std. </w:t>
            </w:r>
            <w:proofErr w:type="spellStart"/>
            <w:r w:rsidRPr="006E31C1">
              <w:rPr>
                <w:rFonts w:ascii="Arial" w:hAnsi="Arial" w:cs="Arial"/>
                <w:sz w:val="16"/>
                <w:szCs w:val="16"/>
              </w:rPr>
              <w:t>Error</w:t>
            </w:r>
            <w:proofErr w:type="spellEnd"/>
            <w:r w:rsidRPr="006E31C1">
              <w:rPr>
                <w:rFonts w:ascii="Arial" w:hAnsi="Arial" w:cs="Arial"/>
                <w:sz w:val="16"/>
                <w:szCs w:val="16"/>
              </w:rPr>
              <w:t xml:space="preserve"> </w:t>
            </w:r>
          </w:p>
        </w:tc>
        <w:tc>
          <w:tcPr>
            <w:tcW w:w="1381" w:type="dxa"/>
            <w:vAlign w:val="center"/>
          </w:tcPr>
          <w:p w14:paraId="63081BB0" w14:textId="77777777" w:rsidR="00C92965" w:rsidRPr="006E31C1" w:rsidRDefault="00000000">
            <w:pPr>
              <w:jc w:val="center"/>
              <w:rPr>
                <w:rFonts w:ascii="Arial" w:hAnsi="Arial" w:cs="Arial"/>
                <w:sz w:val="16"/>
                <w:szCs w:val="16"/>
              </w:rPr>
            </w:pPr>
            <w:r w:rsidRPr="006E31C1">
              <w:rPr>
                <w:rFonts w:ascii="Arial" w:hAnsi="Arial" w:cs="Arial"/>
                <w:sz w:val="16"/>
                <w:szCs w:val="16"/>
              </w:rPr>
              <w:t>0.321</w:t>
            </w:r>
          </w:p>
        </w:tc>
        <w:tc>
          <w:tcPr>
            <w:tcW w:w="1344" w:type="dxa"/>
            <w:vAlign w:val="center"/>
          </w:tcPr>
          <w:p w14:paraId="491B1331" w14:textId="77777777" w:rsidR="00C92965" w:rsidRPr="006E31C1" w:rsidRDefault="00000000">
            <w:pPr>
              <w:jc w:val="center"/>
              <w:rPr>
                <w:rFonts w:ascii="Arial" w:hAnsi="Arial" w:cs="Arial"/>
                <w:sz w:val="16"/>
                <w:szCs w:val="16"/>
              </w:rPr>
            </w:pPr>
            <w:r w:rsidRPr="006E31C1">
              <w:rPr>
                <w:rFonts w:ascii="Arial" w:hAnsi="Arial" w:cs="Arial"/>
                <w:sz w:val="16"/>
                <w:szCs w:val="16"/>
              </w:rPr>
              <w:t>0.704</w:t>
            </w:r>
          </w:p>
        </w:tc>
      </w:tr>
      <w:tr w:rsidR="00C92965" w:rsidRPr="006E31C1" w14:paraId="3D046BAC" w14:textId="77777777">
        <w:trPr>
          <w:jc w:val="center"/>
        </w:trPr>
        <w:tc>
          <w:tcPr>
            <w:tcW w:w="5297" w:type="dxa"/>
            <w:gridSpan w:val="3"/>
            <w:tcBorders>
              <w:bottom w:val="single" w:sz="6" w:space="0" w:color="000000"/>
            </w:tcBorders>
            <w:vAlign w:val="center"/>
          </w:tcPr>
          <w:p w14:paraId="013DDAED" w14:textId="77777777" w:rsidR="00C92965" w:rsidRPr="006E31C1" w:rsidRDefault="00C92965">
            <w:pPr>
              <w:jc w:val="center"/>
              <w:rPr>
                <w:rFonts w:ascii="Arial" w:hAnsi="Arial" w:cs="Arial"/>
                <w:sz w:val="16"/>
                <w:szCs w:val="16"/>
              </w:rPr>
            </w:pPr>
          </w:p>
        </w:tc>
      </w:tr>
      <w:tr w:rsidR="00C92965" w:rsidRPr="006E31C1" w14:paraId="3FF7B583" w14:textId="77777777">
        <w:trPr>
          <w:jc w:val="center"/>
        </w:trPr>
        <w:tc>
          <w:tcPr>
            <w:tcW w:w="2572" w:type="dxa"/>
            <w:vAlign w:val="center"/>
          </w:tcPr>
          <w:p w14:paraId="6DA37A74" w14:textId="77777777" w:rsidR="00C92965" w:rsidRPr="006E31C1" w:rsidRDefault="00000000">
            <w:pPr>
              <w:jc w:val="center"/>
              <w:rPr>
                <w:rFonts w:ascii="Arial" w:hAnsi="Arial" w:cs="Arial"/>
                <w:sz w:val="16"/>
                <w:szCs w:val="16"/>
              </w:rPr>
            </w:pPr>
            <w:proofErr w:type="gramStart"/>
            <w:r w:rsidRPr="006E31C1">
              <w:rPr>
                <w:rFonts w:ascii="Arial" w:hAnsi="Arial" w:cs="Arial"/>
                <w:i/>
                <w:sz w:val="16"/>
                <w:szCs w:val="16"/>
              </w:rPr>
              <w:t>Note:</w:t>
            </w:r>
            <w:proofErr w:type="gramEnd"/>
          </w:p>
        </w:tc>
        <w:tc>
          <w:tcPr>
            <w:tcW w:w="2725" w:type="dxa"/>
            <w:gridSpan w:val="2"/>
            <w:vAlign w:val="center"/>
          </w:tcPr>
          <w:p w14:paraId="339D98B2" w14:textId="77777777" w:rsidR="00C92965" w:rsidRPr="006E31C1" w:rsidRDefault="00000000">
            <w:pPr>
              <w:jc w:val="center"/>
              <w:rPr>
                <w:rFonts w:ascii="Arial" w:hAnsi="Arial" w:cs="Arial"/>
                <w:sz w:val="16"/>
                <w:szCs w:val="16"/>
              </w:rPr>
            </w:pPr>
            <w:r w:rsidRPr="006E31C1">
              <w:rPr>
                <w:rFonts w:ascii="Arial" w:hAnsi="Arial" w:cs="Arial"/>
                <w:sz w:val="16"/>
                <w:szCs w:val="16"/>
                <w:vertAlign w:val="superscript"/>
              </w:rPr>
              <w:t>*</w:t>
            </w:r>
            <w:r w:rsidRPr="006E31C1">
              <w:rPr>
                <w:rFonts w:ascii="Arial" w:hAnsi="Arial" w:cs="Arial"/>
                <w:sz w:val="16"/>
                <w:szCs w:val="16"/>
              </w:rPr>
              <w:t>p</w:t>
            </w:r>
            <w:r w:rsidRPr="006E31C1">
              <w:rPr>
                <w:rFonts w:ascii="Arial" w:hAnsi="Arial" w:cs="Arial"/>
                <w:sz w:val="16"/>
                <w:szCs w:val="16"/>
                <w:vertAlign w:val="superscript"/>
              </w:rPr>
              <w:t>**</w:t>
            </w:r>
            <w:r w:rsidRPr="006E31C1">
              <w:rPr>
                <w:rFonts w:ascii="Arial" w:hAnsi="Arial" w:cs="Arial"/>
                <w:sz w:val="16"/>
                <w:szCs w:val="16"/>
              </w:rPr>
              <w:t>p</w:t>
            </w:r>
            <w:r w:rsidRPr="006E31C1">
              <w:rPr>
                <w:rFonts w:ascii="Arial" w:hAnsi="Arial" w:cs="Arial"/>
                <w:sz w:val="16"/>
                <w:szCs w:val="16"/>
                <w:vertAlign w:val="superscript"/>
              </w:rPr>
              <w:t>***</w:t>
            </w:r>
            <w:r w:rsidRPr="006E31C1">
              <w:rPr>
                <w:rFonts w:ascii="Arial" w:hAnsi="Arial" w:cs="Arial"/>
                <w:sz w:val="16"/>
                <w:szCs w:val="16"/>
              </w:rPr>
              <w:t>p&lt;0.01</w:t>
            </w:r>
          </w:p>
        </w:tc>
      </w:tr>
    </w:tbl>
    <w:p w14:paraId="1CFB3C0F" w14:textId="77777777" w:rsidR="00C92965" w:rsidRPr="006E31C1" w:rsidRDefault="00C92965">
      <w:pPr>
        <w:rPr>
          <w:rFonts w:ascii="Arial" w:hAnsi="Arial" w:cs="Arial"/>
          <w:color w:val="0E101A"/>
          <w:sz w:val="28"/>
          <w:szCs w:val="28"/>
        </w:rPr>
      </w:pPr>
    </w:p>
    <w:p w14:paraId="6D3BBA47" w14:textId="77777777" w:rsidR="00C92965" w:rsidRPr="006E31C1" w:rsidRDefault="00C92965">
      <w:pPr>
        <w:rPr>
          <w:rFonts w:ascii="Arial" w:hAnsi="Arial" w:cs="Arial"/>
          <w:color w:val="0E101A"/>
          <w:sz w:val="28"/>
          <w:szCs w:val="28"/>
        </w:rPr>
      </w:pPr>
    </w:p>
    <w:p w14:paraId="2775B37F" w14:textId="77777777" w:rsidR="00001A58" w:rsidRPr="006E31C1" w:rsidRDefault="00001A58">
      <w:pPr>
        <w:rPr>
          <w:rFonts w:ascii="Arial" w:hAnsi="Arial" w:cs="Arial"/>
          <w:color w:val="0E101A"/>
          <w:sz w:val="28"/>
          <w:szCs w:val="28"/>
        </w:rPr>
      </w:pPr>
    </w:p>
    <w:p w14:paraId="1BF4B091" w14:textId="77777777" w:rsidR="00001A58" w:rsidRPr="006E31C1" w:rsidRDefault="00001A58">
      <w:pPr>
        <w:rPr>
          <w:rFonts w:ascii="Arial" w:hAnsi="Arial" w:cs="Arial"/>
          <w:color w:val="0E101A"/>
          <w:sz w:val="28"/>
          <w:szCs w:val="28"/>
        </w:rPr>
      </w:pPr>
    </w:p>
    <w:p w14:paraId="037134C0" w14:textId="77777777" w:rsidR="00001A58" w:rsidRPr="006E31C1" w:rsidRDefault="00001A58">
      <w:pPr>
        <w:rPr>
          <w:rFonts w:ascii="Arial" w:hAnsi="Arial" w:cs="Arial"/>
          <w:color w:val="0E101A"/>
          <w:sz w:val="28"/>
          <w:szCs w:val="28"/>
        </w:rPr>
      </w:pPr>
    </w:p>
    <w:p w14:paraId="7F946631" w14:textId="77777777" w:rsidR="00001A58" w:rsidRPr="006E31C1" w:rsidRDefault="00001A58">
      <w:pPr>
        <w:rPr>
          <w:rFonts w:ascii="Arial" w:hAnsi="Arial" w:cs="Arial"/>
          <w:color w:val="0E101A"/>
          <w:sz w:val="28"/>
          <w:szCs w:val="28"/>
        </w:rPr>
      </w:pPr>
    </w:p>
    <w:tbl>
      <w:tblPr>
        <w:tblStyle w:val="a2"/>
        <w:tblW w:w="4983" w:type="dxa"/>
        <w:jc w:val="center"/>
        <w:tblInd w:w="0" w:type="dxa"/>
        <w:tblLayout w:type="fixed"/>
        <w:tblLook w:val="0400" w:firstRow="0" w:lastRow="0" w:firstColumn="0" w:lastColumn="0" w:noHBand="0" w:noVBand="1"/>
      </w:tblPr>
      <w:tblGrid>
        <w:gridCol w:w="2444"/>
        <w:gridCol w:w="1262"/>
        <w:gridCol w:w="1277"/>
      </w:tblGrid>
      <w:tr w:rsidR="00C92965" w:rsidRPr="006E31C1" w14:paraId="1477C8BD" w14:textId="77777777">
        <w:trPr>
          <w:jc w:val="center"/>
        </w:trPr>
        <w:tc>
          <w:tcPr>
            <w:tcW w:w="4983" w:type="dxa"/>
            <w:gridSpan w:val="3"/>
            <w:tcBorders>
              <w:top w:val="nil"/>
              <w:left w:val="nil"/>
              <w:bottom w:val="nil"/>
              <w:right w:val="nil"/>
            </w:tcBorders>
            <w:vAlign w:val="center"/>
          </w:tcPr>
          <w:p w14:paraId="276623CA" w14:textId="77777777" w:rsidR="00C92965" w:rsidRPr="006E31C1" w:rsidRDefault="00000000">
            <w:pPr>
              <w:jc w:val="center"/>
              <w:rPr>
                <w:rFonts w:ascii="Arial" w:hAnsi="Arial" w:cs="Arial"/>
              </w:rPr>
            </w:pPr>
            <w:r w:rsidRPr="006E31C1">
              <w:rPr>
                <w:rFonts w:ascii="Arial" w:hAnsi="Arial" w:cs="Arial"/>
                <w:b/>
              </w:rPr>
              <w:t>Résultat estimation modèle MS-AR (2) pour FR</w:t>
            </w:r>
          </w:p>
        </w:tc>
      </w:tr>
      <w:tr w:rsidR="00C92965" w:rsidRPr="006E31C1" w14:paraId="4918604F" w14:textId="77777777">
        <w:trPr>
          <w:jc w:val="center"/>
        </w:trPr>
        <w:tc>
          <w:tcPr>
            <w:tcW w:w="4983" w:type="dxa"/>
            <w:gridSpan w:val="3"/>
            <w:tcBorders>
              <w:bottom w:val="single" w:sz="6" w:space="0" w:color="000000"/>
            </w:tcBorders>
            <w:vAlign w:val="center"/>
          </w:tcPr>
          <w:p w14:paraId="525CB1A8" w14:textId="77777777" w:rsidR="00C92965" w:rsidRPr="006E31C1" w:rsidRDefault="00C92965">
            <w:pPr>
              <w:jc w:val="center"/>
              <w:rPr>
                <w:rFonts w:ascii="Arial" w:hAnsi="Arial" w:cs="Arial"/>
                <w:sz w:val="16"/>
                <w:szCs w:val="16"/>
              </w:rPr>
            </w:pPr>
          </w:p>
        </w:tc>
      </w:tr>
      <w:tr w:rsidR="00C92965" w:rsidRPr="006E31C1" w14:paraId="7D76189D" w14:textId="77777777">
        <w:trPr>
          <w:jc w:val="center"/>
        </w:trPr>
        <w:tc>
          <w:tcPr>
            <w:tcW w:w="2444" w:type="dxa"/>
            <w:vAlign w:val="center"/>
          </w:tcPr>
          <w:p w14:paraId="47338E37" w14:textId="77777777" w:rsidR="00C92965" w:rsidRPr="006E31C1" w:rsidRDefault="00C92965">
            <w:pPr>
              <w:jc w:val="center"/>
              <w:rPr>
                <w:rFonts w:ascii="Arial" w:hAnsi="Arial" w:cs="Arial"/>
                <w:sz w:val="16"/>
                <w:szCs w:val="16"/>
              </w:rPr>
            </w:pPr>
          </w:p>
        </w:tc>
        <w:tc>
          <w:tcPr>
            <w:tcW w:w="2539" w:type="dxa"/>
            <w:gridSpan w:val="2"/>
            <w:vAlign w:val="center"/>
          </w:tcPr>
          <w:p w14:paraId="1FE3B3D1" w14:textId="04BB96F3" w:rsidR="00C92965" w:rsidRPr="006E31C1" w:rsidRDefault="007711A6">
            <w:pPr>
              <w:jc w:val="center"/>
              <w:rPr>
                <w:rFonts w:ascii="Arial" w:hAnsi="Arial" w:cs="Arial"/>
                <w:sz w:val="16"/>
                <w:szCs w:val="16"/>
              </w:rPr>
            </w:pPr>
            <w:r w:rsidRPr="006E31C1">
              <w:rPr>
                <w:rFonts w:ascii="Arial" w:hAnsi="Arial" w:cs="Arial"/>
                <w:sz w:val="16"/>
                <w:szCs w:val="16"/>
              </w:rPr>
              <w:t>Régime :</w:t>
            </w:r>
          </w:p>
        </w:tc>
      </w:tr>
      <w:tr w:rsidR="00C92965" w:rsidRPr="006E31C1" w14:paraId="29AAE289" w14:textId="77777777">
        <w:trPr>
          <w:jc w:val="center"/>
        </w:trPr>
        <w:tc>
          <w:tcPr>
            <w:tcW w:w="2444" w:type="dxa"/>
            <w:vAlign w:val="center"/>
          </w:tcPr>
          <w:p w14:paraId="369B2803" w14:textId="77777777" w:rsidR="00C92965" w:rsidRPr="006E31C1" w:rsidRDefault="00C92965">
            <w:pPr>
              <w:jc w:val="center"/>
              <w:rPr>
                <w:rFonts w:ascii="Arial" w:hAnsi="Arial" w:cs="Arial"/>
                <w:sz w:val="16"/>
                <w:szCs w:val="16"/>
              </w:rPr>
            </w:pPr>
          </w:p>
        </w:tc>
        <w:tc>
          <w:tcPr>
            <w:tcW w:w="2539" w:type="dxa"/>
            <w:gridSpan w:val="2"/>
            <w:tcBorders>
              <w:bottom w:val="single" w:sz="6" w:space="0" w:color="000000"/>
            </w:tcBorders>
            <w:vAlign w:val="center"/>
          </w:tcPr>
          <w:p w14:paraId="795AC0FF" w14:textId="77777777" w:rsidR="00C92965" w:rsidRPr="006E31C1" w:rsidRDefault="00C92965">
            <w:pPr>
              <w:jc w:val="center"/>
              <w:rPr>
                <w:rFonts w:ascii="Arial" w:hAnsi="Arial" w:cs="Arial"/>
                <w:sz w:val="16"/>
                <w:szCs w:val="16"/>
              </w:rPr>
            </w:pPr>
          </w:p>
        </w:tc>
      </w:tr>
      <w:tr w:rsidR="00C92965" w:rsidRPr="006E31C1" w14:paraId="5854583A" w14:textId="77777777">
        <w:trPr>
          <w:jc w:val="center"/>
        </w:trPr>
        <w:tc>
          <w:tcPr>
            <w:tcW w:w="2444" w:type="dxa"/>
            <w:vAlign w:val="center"/>
          </w:tcPr>
          <w:p w14:paraId="1BC16AD4" w14:textId="77777777" w:rsidR="00C92965" w:rsidRPr="006E31C1" w:rsidRDefault="00C92965">
            <w:pPr>
              <w:jc w:val="center"/>
              <w:rPr>
                <w:rFonts w:ascii="Arial" w:hAnsi="Arial" w:cs="Arial"/>
                <w:sz w:val="16"/>
                <w:szCs w:val="16"/>
              </w:rPr>
            </w:pPr>
          </w:p>
        </w:tc>
        <w:tc>
          <w:tcPr>
            <w:tcW w:w="1262" w:type="dxa"/>
            <w:vAlign w:val="center"/>
          </w:tcPr>
          <w:p w14:paraId="662BFE50" w14:textId="77777777" w:rsidR="00C92965" w:rsidRPr="006E31C1" w:rsidRDefault="00000000">
            <w:pPr>
              <w:jc w:val="center"/>
              <w:rPr>
                <w:rFonts w:ascii="Arial" w:hAnsi="Arial" w:cs="Arial"/>
                <w:sz w:val="16"/>
                <w:szCs w:val="16"/>
              </w:rPr>
            </w:pPr>
            <w:r w:rsidRPr="006E31C1">
              <w:rPr>
                <w:rFonts w:ascii="Arial" w:hAnsi="Arial" w:cs="Arial"/>
                <w:sz w:val="16"/>
                <w:szCs w:val="16"/>
              </w:rPr>
              <w:t>Régime 1</w:t>
            </w:r>
          </w:p>
        </w:tc>
        <w:tc>
          <w:tcPr>
            <w:tcW w:w="1277" w:type="dxa"/>
            <w:vAlign w:val="center"/>
          </w:tcPr>
          <w:p w14:paraId="40C81EDA" w14:textId="77777777" w:rsidR="00C92965" w:rsidRPr="006E31C1" w:rsidRDefault="00000000">
            <w:pPr>
              <w:jc w:val="center"/>
              <w:rPr>
                <w:rFonts w:ascii="Arial" w:hAnsi="Arial" w:cs="Arial"/>
                <w:sz w:val="16"/>
                <w:szCs w:val="16"/>
              </w:rPr>
            </w:pPr>
            <w:r w:rsidRPr="006E31C1">
              <w:rPr>
                <w:rFonts w:ascii="Arial" w:hAnsi="Arial" w:cs="Arial"/>
                <w:sz w:val="16"/>
                <w:szCs w:val="16"/>
              </w:rPr>
              <w:t>Régime 2</w:t>
            </w:r>
          </w:p>
        </w:tc>
      </w:tr>
      <w:tr w:rsidR="00C92965" w:rsidRPr="006E31C1" w14:paraId="723D2680" w14:textId="77777777">
        <w:trPr>
          <w:jc w:val="center"/>
        </w:trPr>
        <w:tc>
          <w:tcPr>
            <w:tcW w:w="2444" w:type="dxa"/>
            <w:vAlign w:val="center"/>
          </w:tcPr>
          <w:p w14:paraId="36C98A67" w14:textId="77777777" w:rsidR="00C92965" w:rsidRPr="006E31C1" w:rsidRDefault="00C92965">
            <w:pPr>
              <w:jc w:val="center"/>
              <w:rPr>
                <w:rFonts w:ascii="Arial" w:hAnsi="Arial" w:cs="Arial"/>
                <w:sz w:val="16"/>
                <w:szCs w:val="16"/>
              </w:rPr>
            </w:pPr>
          </w:p>
        </w:tc>
        <w:tc>
          <w:tcPr>
            <w:tcW w:w="1262" w:type="dxa"/>
            <w:vAlign w:val="center"/>
          </w:tcPr>
          <w:p w14:paraId="6CCF6962" w14:textId="77777777" w:rsidR="00C92965" w:rsidRPr="006E31C1" w:rsidRDefault="00000000">
            <w:pPr>
              <w:jc w:val="center"/>
              <w:rPr>
                <w:rFonts w:ascii="Arial" w:hAnsi="Arial" w:cs="Arial"/>
                <w:sz w:val="16"/>
                <w:szCs w:val="16"/>
              </w:rPr>
            </w:pPr>
            <w:r w:rsidRPr="006E31C1">
              <w:rPr>
                <w:rFonts w:ascii="Arial" w:hAnsi="Arial" w:cs="Arial"/>
                <w:sz w:val="16"/>
                <w:szCs w:val="16"/>
              </w:rPr>
              <w:t>(1)</w:t>
            </w:r>
          </w:p>
        </w:tc>
        <w:tc>
          <w:tcPr>
            <w:tcW w:w="1277" w:type="dxa"/>
            <w:vAlign w:val="center"/>
          </w:tcPr>
          <w:p w14:paraId="6C0AB7E1" w14:textId="77777777" w:rsidR="00C92965" w:rsidRPr="006E31C1" w:rsidRDefault="00000000">
            <w:pPr>
              <w:jc w:val="center"/>
              <w:rPr>
                <w:rFonts w:ascii="Arial" w:hAnsi="Arial" w:cs="Arial"/>
                <w:sz w:val="16"/>
                <w:szCs w:val="16"/>
              </w:rPr>
            </w:pPr>
            <w:r w:rsidRPr="006E31C1">
              <w:rPr>
                <w:rFonts w:ascii="Arial" w:hAnsi="Arial" w:cs="Arial"/>
                <w:sz w:val="16"/>
                <w:szCs w:val="16"/>
              </w:rPr>
              <w:t>(2)</w:t>
            </w:r>
          </w:p>
        </w:tc>
      </w:tr>
      <w:tr w:rsidR="00C92965" w:rsidRPr="006E31C1" w14:paraId="6BA6AF31" w14:textId="77777777">
        <w:trPr>
          <w:jc w:val="center"/>
        </w:trPr>
        <w:tc>
          <w:tcPr>
            <w:tcW w:w="4983" w:type="dxa"/>
            <w:gridSpan w:val="3"/>
            <w:tcBorders>
              <w:bottom w:val="single" w:sz="6" w:space="0" w:color="000000"/>
            </w:tcBorders>
            <w:vAlign w:val="center"/>
          </w:tcPr>
          <w:p w14:paraId="2EFAEEC4" w14:textId="77777777" w:rsidR="00C92965" w:rsidRPr="006E31C1" w:rsidRDefault="00C92965">
            <w:pPr>
              <w:jc w:val="center"/>
              <w:rPr>
                <w:rFonts w:ascii="Arial" w:hAnsi="Arial" w:cs="Arial"/>
                <w:sz w:val="16"/>
                <w:szCs w:val="16"/>
              </w:rPr>
            </w:pPr>
          </w:p>
        </w:tc>
      </w:tr>
      <w:tr w:rsidR="00C92965" w:rsidRPr="006E31C1" w14:paraId="0FFB324A" w14:textId="77777777">
        <w:trPr>
          <w:jc w:val="center"/>
        </w:trPr>
        <w:tc>
          <w:tcPr>
            <w:tcW w:w="2444" w:type="dxa"/>
            <w:vAlign w:val="center"/>
          </w:tcPr>
          <w:p w14:paraId="749BCA68" w14:textId="77777777" w:rsidR="00C92965" w:rsidRPr="006E31C1" w:rsidRDefault="00C92965">
            <w:pPr>
              <w:rPr>
                <w:rFonts w:ascii="Arial" w:hAnsi="Arial" w:cs="Arial"/>
                <w:sz w:val="16"/>
                <w:szCs w:val="16"/>
              </w:rPr>
            </w:pPr>
          </w:p>
        </w:tc>
        <w:tc>
          <w:tcPr>
            <w:tcW w:w="1262" w:type="dxa"/>
            <w:vAlign w:val="center"/>
          </w:tcPr>
          <w:p w14:paraId="17B0EF4B" w14:textId="77777777" w:rsidR="00C92965" w:rsidRPr="006E31C1" w:rsidRDefault="00C92965">
            <w:pPr>
              <w:jc w:val="center"/>
              <w:rPr>
                <w:rFonts w:ascii="Arial" w:hAnsi="Arial" w:cs="Arial"/>
                <w:sz w:val="16"/>
                <w:szCs w:val="16"/>
              </w:rPr>
            </w:pPr>
          </w:p>
        </w:tc>
        <w:tc>
          <w:tcPr>
            <w:tcW w:w="1277" w:type="dxa"/>
            <w:vAlign w:val="center"/>
          </w:tcPr>
          <w:p w14:paraId="79D8DF4B" w14:textId="77777777" w:rsidR="00C92965" w:rsidRPr="006E31C1" w:rsidRDefault="00C92965">
            <w:pPr>
              <w:jc w:val="center"/>
              <w:rPr>
                <w:rFonts w:ascii="Arial" w:hAnsi="Arial" w:cs="Arial"/>
                <w:sz w:val="16"/>
                <w:szCs w:val="16"/>
              </w:rPr>
            </w:pPr>
          </w:p>
        </w:tc>
      </w:tr>
      <w:tr w:rsidR="00C92965" w:rsidRPr="006E31C1" w14:paraId="751BD13F" w14:textId="77777777">
        <w:trPr>
          <w:jc w:val="center"/>
        </w:trPr>
        <w:tc>
          <w:tcPr>
            <w:tcW w:w="2444" w:type="dxa"/>
            <w:vAlign w:val="center"/>
          </w:tcPr>
          <w:p w14:paraId="32C5060B" w14:textId="77777777" w:rsidR="00C92965" w:rsidRPr="006E31C1" w:rsidRDefault="00000000">
            <w:pPr>
              <w:jc w:val="center"/>
              <w:rPr>
                <w:rFonts w:ascii="Arial" w:hAnsi="Arial" w:cs="Arial"/>
                <w:sz w:val="16"/>
                <w:szCs w:val="16"/>
              </w:rPr>
            </w:pPr>
            <w:r w:rsidRPr="006E31C1">
              <w:rPr>
                <w:rFonts w:ascii="Arial" w:hAnsi="Arial" w:cs="Arial"/>
                <w:sz w:val="16"/>
                <w:szCs w:val="16"/>
              </w:rPr>
              <w:t>CPI_YOY_1(S)</w:t>
            </w:r>
          </w:p>
        </w:tc>
        <w:tc>
          <w:tcPr>
            <w:tcW w:w="1262" w:type="dxa"/>
            <w:vAlign w:val="center"/>
          </w:tcPr>
          <w:p w14:paraId="4B85A093" w14:textId="77777777" w:rsidR="00C92965" w:rsidRPr="006E31C1" w:rsidRDefault="00000000">
            <w:pPr>
              <w:jc w:val="center"/>
              <w:rPr>
                <w:rFonts w:ascii="Arial" w:hAnsi="Arial" w:cs="Arial"/>
                <w:sz w:val="16"/>
                <w:szCs w:val="16"/>
              </w:rPr>
            </w:pPr>
            <w:r w:rsidRPr="006E31C1">
              <w:rPr>
                <w:rFonts w:ascii="Arial" w:hAnsi="Arial" w:cs="Arial"/>
                <w:sz w:val="16"/>
                <w:szCs w:val="16"/>
              </w:rPr>
              <w:t>0.9900</w:t>
            </w:r>
            <w:r w:rsidRPr="006E31C1">
              <w:rPr>
                <w:rFonts w:ascii="Arial" w:hAnsi="Arial" w:cs="Arial"/>
                <w:sz w:val="16"/>
                <w:szCs w:val="16"/>
                <w:vertAlign w:val="superscript"/>
              </w:rPr>
              <w:t>***</w:t>
            </w:r>
          </w:p>
        </w:tc>
        <w:tc>
          <w:tcPr>
            <w:tcW w:w="1277" w:type="dxa"/>
            <w:vAlign w:val="center"/>
          </w:tcPr>
          <w:p w14:paraId="606DF34E" w14:textId="77777777" w:rsidR="00C92965" w:rsidRPr="006E31C1" w:rsidRDefault="00000000">
            <w:pPr>
              <w:jc w:val="center"/>
              <w:rPr>
                <w:rFonts w:ascii="Arial" w:hAnsi="Arial" w:cs="Arial"/>
                <w:sz w:val="16"/>
                <w:szCs w:val="16"/>
              </w:rPr>
            </w:pPr>
            <w:r w:rsidRPr="006E31C1">
              <w:rPr>
                <w:rFonts w:ascii="Arial" w:hAnsi="Arial" w:cs="Arial"/>
                <w:sz w:val="16"/>
                <w:szCs w:val="16"/>
              </w:rPr>
              <w:t>1.2279</w:t>
            </w:r>
            <w:r w:rsidRPr="006E31C1">
              <w:rPr>
                <w:rFonts w:ascii="Arial" w:hAnsi="Arial" w:cs="Arial"/>
                <w:sz w:val="16"/>
                <w:szCs w:val="16"/>
                <w:vertAlign w:val="superscript"/>
              </w:rPr>
              <w:t>***</w:t>
            </w:r>
          </w:p>
        </w:tc>
      </w:tr>
      <w:tr w:rsidR="00C92965" w:rsidRPr="006E31C1" w14:paraId="563A70B2" w14:textId="77777777">
        <w:trPr>
          <w:jc w:val="center"/>
        </w:trPr>
        <w:tc>
          <w:tcPr>
            <w:tcW w:w="2444" w:type="dxa"/>
            <w:vAlign w:val="center"/>
          </w:tcPr>
          <w:p w14:paraId="47375CE4" w14:textId="77777777" w:rsidR="00C92965" w:rsidRPr="006E31C1" w:rsidRDefault="00C92965">
            <w:pPr>
              <w:jc w:val="center"/>
              <w:rPr>
                <w:rFonts w:ascii="Arial" w:hAnsi="Arial" w:cs="Arial"/>
                <w:sz w:val="16"/>
                <w:szCs w:val="16"/>
              </w:rPr>
            </w:pPr>
          </w:p>
        </w:tc>
        <w:tc>
          <w:tcPr>
            <w:tcW w:w="1262" w:type="dxa"/>
            <w:vAlign w:val="center"/>
          </w:tcPr>
          <w:p w14:paraId="31F36C2C" w14:textId="77777777" w:rsidR="00C92965" w:rsidRPr="006E31C1" w:rsidRDefault="00000000">
            <w:pPr>
              <w:jc w:val="center"/>
              <w:rPr>
                <w:rFonts w:ascii="Arial" w:hAnsi="Arial" w:cs="Arial"/>
                <w:sz w:val="16"/>
                <w:szCs w:val="16"/>
              </w:rPr>
            </w:pPr>
            <w:r w:rsidRPr="006E31C1">
              <w:rPr>
                <w:rFonts w:ascii="Arial" w:hAnsi="Arial" w:cs="Arial"/>
                <w:sz w:val="16"/>
                <w:szCs w:val="16"/>
              </w:rPr>
              <w:t>(0.0772)</w:t>
            </w:r>
          </w:p>
        </w:tc>
        <w:tc>
          <w:tcPr>
            <w:tcW w:w="1277" w:type="dxa"/>
            <w:vAlign w:val="center"/>
          </w:tcPr>
          <w:p w14:paraId="6289A98D" w14:textId="77777777" w:rsidR="00C92965" w:rsidRPr="006E31C1" w:rsidRDefault="00000000">
            <w:pPr>
              <w:jc w:val="center"/>
              <w:rPr>
                <w:rFonts w:ascii="Arial" w:hAnsi="Arial" w:cs="Arial"/>
                <w:sz w:val="16"/>
                <w:szCs w:val="16"/>
              </w:rPr>
            </w:pPr>
            <w:r w:rsidRPr="006E31C1">
              <w:rPr>
                <w:rFonts w:ascii="Arial" w:hAnsi="Arial" w:cs="Arial"/>
                <w:sz w:val="16"/>
                <w:szCs w:val="16"/>
              </w:rPr>
              <w:t>(0.1031)</w:t>
            </w:r>
          </w:p>
        </w:tc>
      </w:tr>
      <w:tr w:rsidR="00C92965" w:rsidRPr="006E31C1" w14:paraId="4C1DEFAD" w14:textId="77777777">
        <w:trPr>
          <w:jc w:val="center"/>
        </w:trPr>
        <w:tc>
          <w:tcPr>
            <w:tcW w:w="2444" w:type="dxa"/>
            <w:vAlign w:val="center"/>
          </w:tcPr>
          <w:p w14:paraId="1B023AC7" w14:textId="77777777" w:rsidR="00C92965" w:rsidRPr="006E31C1" w:rsidRDefault="00C92965">
            <w:pPr>
              <w:jc w:val="center"/>
              <w:rPr>
                <w:rFonts w:ascii="Arial" w:hAnsi="Arial" w:cs="Arial"/>
                <w:sz w:val="16"/>
                <w:szCs w:val="16"/>
              </w:rPr>
            </w:pPr>
          </w:p>
        </w:tc>
        <w:tc>
          <w:tcPr>
            <w:tcW w:w="1262" w:type="dxa"/>
            <w:vAlign w:val="center"/>
          </w:tcPr>
          <w:p w14:paraId="3F959D2A" w14:textId="77777777" w:rsidR="00C92965" w:rsidRPr="006E31C1" w:rsidRDefault="00C92965">
            <w:pPr>
              <w:jc w:val="center"/>
              <w:rPr>
                <w:rFonts w:ascii="Arial" w:hAnsi="Arial" w:cs="Arial"/>
                <w:sz w:val="16"/>
                <w:szCs w:val="16"/>
              </w:rPr>
            </w:pPr>
          </w:p>
        </w:tc>
        <w:tc>
          <w:tcPr>
            <w:tcW w:w="1277" w:type="dxa"/>
            <w:vAlign w:val="center"/>
          </w:tcPr>
          <w:p w14:paraId="69BB28ED" w14:textId="77777777" w:rsidR="00C92965" w:rsidRPr="006E31C1" w:rsidRDefault="00C92965">
            <w:pPr>
              <w:jc w:val="center"/>
              <w:rPr>
                <w:rFonts w:ascii="Arial" w:hAnsi="Arial" w:cs="Arial"/>
                <w:sz w:val="16"/>
                <w:szCs w:val="16"/>
              </w:rPr>
            </w:pPr>
          </w:p>
        </w:tc>
      </w:tr>
      <w:tr w:rsidR="00C92965" w:rsidRPr="006E31C1" w14:paraId="5FEDF59A" w14:textId="77777777">
        <w:trPr>
          <w:jc w:val="center"/>
        </w:trPr>
        <w:tc>
          <w:tcPr>
            <w:tcW w:w="2444" w:type="dxa"/>
            <w:vAlign w:val="center"/>
          </w:tcPr>
          <w:p w14:paraId="3380A90C" w14:textId="77777777" w:rsidR="00C92965" w:rsidRPr="006E31C1" w:rsidRDefault="00000000">
            <w:pPr>
              <w:jc w:val="center"/>
              <w:rPr>
                <w:rFonts w:ascii="Arial" w:hAnsi="Arial" w:cs="Arial"/>
                <w:sz w:val="16"/>
                <w:szCs w:val="16"/>
              </w:rPr>
            </w:pPr>
            <w:r w:rsidRPr="006E31C1">
              <w:rPr>
                <w:rFonts w:ascii="Arial" w:hAnsi="Arial" w:cs="Arial"/>
                <w:sz w:val="16"/>
                <w:szCs w:val="16"/>
              </w:rPr>
              <w:t>CPI_YOY_2(S)</w:t>
            </w:r>
          </w:p>
        </w:tc>
        <w:tc>
          <w:tcPr>
            <w:tcW w:w="1262" w:type="dxa"/>
            <w:vAlign w:val="center"/>
          </w:tcPr>
          <w:p w14:paraId="69E20C18" w14:textId="77777777" w:rsidR="00C92965" w:rsidRPr="006E31C1" w:rsidRDefault="00000000">
            <w:pPr>
              <w:jc w:val="center"/>
              <w:rPr>
                <w:rFonts w:ascii="Arial" w:hAnsi="Arial" w:cs="Arial"/>
                <w:sz w:val="16"/>
                <w:szCs w:val="16"/>
              </w:rPr>
            </w:pPr>
            <w:r w:rsidRPr="006E31C1">
              <w:rPr>
                <w:rFonts w:ascii="Arial" w:hAnsi="Arial" w:cs="Arial"/>
                <w:sz w:val="16"/>
                <w:szCs w:val="16"/>
              </w:rPr>
              <w:t>-0.0478</w:t>
            </w:r>
          </w:p>
        </w:tc>
        <w:tc>
          <w:tcPr>
            <w:tcW w:w="1277" w:type="dxa"/>
            <w:vAlign w:val="center"/>
          </w:tcPr>
          <w:p w14:paraId="1FF6F3A6" w14:textId="77777777" w:rsidR="00C92965" w:rsidRPr="006E31C1" w:rsidRDefault="00000000">
            <w:pPr>
              <w:jc w:val="center"/>
              <w:rPr>
                <w:rFonts w:ascii="Arial" w:hAnsi="Arial" w:cs="Arial"/>
                <w:sz w:val="16"/>
                <w:szCs w:val="16"/>
              </w:rPr>
            </w:pPr>
            <w:r w:rsidRPr="006E31C1">
              <w:rPr>
                <w:rFonts w:ascii="Arial" w:hAnsi="Arial" w:cs="Arial"/>
                <w:sz w:val="16"/>
                <w:szCs w:val="16"/>
              </w:rPr>
              <w:t>-0.2588</w:t>
            </w:r>
            <w:r w:rsidRPr="006E31C1">
              <w:rPr>
                <w:rFonts w:ascii="Arial" w:hAnsi="Arial" w:cs="Arial"/>
                <w:sz w:val="16"/>
                <w:szCs w:val="16"/>
                <w:vertAlign w:val="superscript"/>
              </w:rPr>
              <w:t>*</w:t>
            </w:r>
          </w:p>
        </w:tc>
      </w:tr>
      <w:tr w:rsidR="00C92965" w:rsidRPr="006E31C1" w14:paraId="66779214" w14:textId="77777777">
        <w:trPr>
          <w:jc w:val="center"/>
        </w:trPr>
        <w:tc>
          <w:tcPr>
            <w:tcW w:w="2444" w:type="dxa"/>
            <w:vAlign w:val="center"/>
          </w:tcPr>
          <w:p w14:paraId="46F40E08" w14:textId="77777777" w:rsidR="00C92965" w:rsidRPr="006E31C1" w:rsidRDefault="00C92965">
            <w:pPr>
              <w:jc w:val="center"/>
              <w:rPr>
                <w:rFonts w:ascii="Arial" w:hAnsi="Arial" w:cs="Arial"/>
                <w:sz w:val="16"/>
                <w:szCs w:val="16"/>
              </w:rPr>
            </w:pPr>
          </w:p>
        </w:tc>
        <w:tc>
          <w:tcPr>
            <w:tcW w:w="1262" w:type="dxa"/>
            <w:vAlign w:val="center"/>
          </w:tcPr>
          <w:p w14:paraId="1BCB10C4" w14:textId="77777777" w:rsidR="00C92965" w:rsidRPr="006E31C1" w:rsidRDefault="00000000">
            <w:pPr>
              <w:jc w:val="center"/>
              <w:rPr>
                <w:rFonts w:ascii="Arial" w:hAnsi="Arial" w:cs="Arial"/>
                <w:sz w:val="16"/>
                <w:szCs w:val="16"/>
              </w:rPr>
            </w:pPr>
            <w:r w:rsidRPr="006E31C1">
              <w:rPr>
                <w:rFonts w:ascii="Arial" w:hAnsi="Arial" w:cs="Arial"/>
                <w:sz w:val="16"/>
                <w:szCs w:val="16"/>
              </w:rPr>
              <w:t>(0.0772)</w:t>
            </w:r>
          </w:p>
        </w:tc>
        <w:tc>
          <w:tcPr>
            <w:tcW w:w="1277" w:type="dxa"/>
            <w:vAlign w:val="center"/>
          </w:tcPr>
          <w:p w14:paraId="584EEA18" w14:textId="77777777" w:rsidR="00C92965" w:rsidRPr="006E31C1" w:rsidRDefault="00000000">
            <w:pPr>
              <w:jc w:val="center"/>
              <w:rPr>
                <w:rFonts w:ascii="Arial" w:hAnsi="Arial" w:cs="Arial"/>
                <w:sz w:val="16"/>
                <w:szCs w:val="16"/>
              </w:rPr>
            </w:pPr>
            <w:r w:rsidRPr="006E31C1">
              <w:rPr>
                <w:rFonts w:ascii="Arial" w:hAnsi="Arial" w:cs="Arial"/>
                <w:sz w:val="16"/>
                <w:szCs w:val="16"/>
              </w:rPr>
              <w:t>(0.1016)</w:t>
            </w:r>
          </w:p>
        </w:tc>
      </w:tr>
      <w:tr w:rsidR="00C92965" w:rsidRPr="006E31C1" w14:paraId="4CAB77FA" w14:textId="77777777">
        <w:trPr>
          <w:jc w:val="center"/>
        </w:trPr>
        <w:tc>
          <w:tcPr>
            <w:tcW w:w="2444" w:type="dxa"/>
            <w:vAlign w:val="center"/>
          </w:tcPr>
          <w:p w14:paraId="142BF0AB" w14:textId="77777777" w:rsidR="00C92965" w:rsidRPr="006E31C1" w:rsidRDefault="00C92965">
            <w:pPr>
              <w:jc w:val="center"/>
              <w:rPr>
                <w:rFonts w:ascii="Arial" w:hAnsi="Arial" w:cs="Arial"/>
                <w:sz w:val="16"/>
                <w:szCs w:val="16"/>
              </w:rPr>
            </w:pPr>
          </w:p>
        </w:tc>
        <w:tc>
          <w:tcPr>
            <w:tcW w:w="1262" w:type="dxa"/>
            <w:vAlign w:val="center"/>
          </w:tcPr>
          <w:p w14:paraId="74BC9D12" w14:textId="77777777" w:rsidR="00C92965" w:rsidRPr="006E31C1" w:rsidRDefault="00C92965">
            <w:pPr>
              <w:jc w:val="center"/>
              <w:rPr>
                <w:rFonts w:ascii="Arial" w:hAnsi="Arial" w:cs="Arial"/>
                <w:sz w:val="16"/>
                <w:szCs w:val="16"/>
              </w:rPr>
            </w:pPr>
          </w:p>
        </w:tc>
        <w:tc>
          <w:tcPr>
            <w:tcW w:w="1277" w:type="dxa"/>
            <w:vAlign w:val="center"/>
          </w:tcPr>
          <w:p w14:paraId="02E2AA4A" w14:textId="77777777" w:rsidR="00C92965" w:rsidRPr="006E31C1" w:rsidRDefault="00C92965">
            <w:pPr>
              <w:jc w:val="center"/>
              <w:rPr>
                <w:rFonts w:ascii="Arial" w:hAnsi="Arial" w:cs="Arial"/>
                <w:sz w:val="16"/>
                <w:szCs w:val="16"/>
              </w:rPr>
            </w:pPr>
          </w:p>
        </w:tc>
      </w:tr>
      <w:tr w:rsidR="00C92965" w:rsidRPr="006E31C1" w14:paraId="4AE711E0" w14:textId="77777777">
        <w:trPr>
          <w:jc w:val="center"/>
        </w:trPr>
        <w:tc>
          <w:tcPr>
            <w:tcW w:w="2444" w:type="dxa"/>
            <w:vAlign w:val="center"/>
          </w:tcPr>
          <w:p w14:paraId="69269A45" w14:textId="77777777" w:rsidR="00C92965" w:rsidRPr="006E31C1" w:rsidRDefault="00000000">
            <w:pPr>
              <w:jc w:val="center"/>
              <w:rPr>
                <w:rFonts w:ascii="Arial" w:hAnsi="Arial" w:cs="Arial"/>
                <w:sz w:val="16"/>
                <w:szCs w:val="16"/>
              </w:rPr>
            </w:pPr>
            <w:r w:rsidRPr="006E31C1">
              <w:rPr>
                <w:rFonts w:ascii="Arial" w:hAnsi="Arial" w:cs="Arial"/>
                <w:sz w:val="16"/>
                <w:szCs w:val="16"/>
              </w:rPr>
              <w:t>Intercept</w:t>
            </w:r>
          </w:p>
        </w:tc>
        <w:tc>
          <w:tcPr>
            <w:tcW w:w="1262" w:type="dxa"/>
            <w:vAlign w:val="center"/>
          </w:tcPr>
          <w:p w14:paraId="08F941DB" w14:textId="77777777" w:rsidR="00C92965" w:rsidRPr="006E31C1" w:rsidRDefault="00000000">
            <w:pPr>
              <w:jc w:val="center"/>
              <w:rPr>
                <w:rFonts w:ascii="Arial" w:hAnsi="Arial" w:cs="Arial"/>
                <w:sz w:val="16"/>
                <w:szCs w:val="16"/>
              </w:rPr>
            </w:pPr>
            <w:r w:rsidRPr="006E31C1">
              <w:rPr>
                <w:rFonts w:ascii="Arial" w:hAnsi="Arial" w:cs="Arial"/>
                <w:sz w:val="16"/>
                <w:szCs w:val="16"/>
              </w:rPr>
              <w:t>0.0748</w:t>
            </w:r>
            <w:r w:rsidRPr="006E31C1">
              <w:rPr>
                <w:rFonts w:ascii="Arial" w:hAnsi="Arial" w:cs="Arial"/>
                <w:sz w:val="16"/>
                <w:szCs w:val="16"/>
                <w:vertAlign w:val="superscript"/>
              </w:rPr>
              <w:t>*</w:t>
            </w:r>
          </w:p>
        </w:tc>
        <w:tc>
          <w:tcPr>
            <w:tcW w:w="1277" w:type="dxa"/>
            <w:vAlign w:val="center"/>
          </w:tcPr>
          <w:p w14:paraId="5D601A8A" w14:textId="77777777" w:rsidR="00C92965" w:rsidRPr="006E31C1" w:rsidRDefault="00000000">
            <w:pPr>
              <w:jc w:val="center"/>
              <w:rPr>
                <w:rFonts w:ascii="Arial" w:hAnsi="Arial" w:cs="Arial"/>
                <w:sz w:val="16"/>
                <w:szCs w:val="16"/>
              </w:rPr>
            </w:pPr>
            <w:r w:rsidRPr="006E31C1">
              <w:rPr>
                <w:rFonts w:ascii="Arial" w:hAnsi="Arial" w:cs="Arial"/>
                <w:sz w:val="16"/>
                <w:szCs w:val="16"/>
              </w:rPr>
              <w:t>0.0591</w:t>
            </w:r>
          </w:p>
        </w:tc>
      </w:tr>
      <w:tr w:rsidR="00C92965" w:rsidRPr="006E31C1" w14:paraId="0B85F0C5" w14:textId="77777777">
        <w:trPr>
          <w:jc w:val="center"/>
        </w:trPr>
        <w:tc>
          <w:tcPr>
            <w:tcW w:w="2444" w:type="dxa"/>
            <w:vAlign w:val="center"/>
          </w:tcPr>
          <w:p w14:paraId="1DA58DE0" w14:textId="77777777" w:rsidR="00C92965" w:rsidRPr="006E31C1" w:rsidRDefault="00C92965">
            <w:pPr>
              <w:jc w:val="center"/>
              <w:rPr>
                <w:rFonts w:ascii="Arial" w:hAnsi="Arial" w:cs="Arial"/>
                <w:sz w:val="16"/>
                <w:szCs w:val="16"/>
              </w:rPr>
            </w:pPr>
          </w:p>
        </w:tc>
        <w:tc>
          <w:tcPr>
            <w:tcW w:w="1262" w:type="dxa"/>
            <w:vAlign w:val="center"/>
          </w:tcPr>
          <w:p w14:paraId="7340997F" w14:textId="77777777" w:rsidR="00C92965" w:rsidRPr="006E31C1" w:rsidRDefault="00000000">
            <w:pPr>
              <w:jc w:val="center"/>
              <w:rPr>
                <w:rFonts w:ascii="Arial" w:hAnsi="Arial" w:cs="Arial"/>
                <w:sz w:val="16"/>
                <w:szCs w:val="16"/>
              </w:rPr>
            </w:pPr>
            <w:r w:rsidRPr="006E31C1">
              <w:rPr>
                <w:rFonts w:ascii="Arial" w:hAnsi="Arial" w:cs="Arial"/>
                <w:sz w:val="16"/>
                <w:szCs w:val="16"/>
              </w:rPr>
              <w:t>(0.0368)</w:t>
            </w:r>
          </w:p>
        </w:tc>
        <w:tc>
          <w:tcPr>
            <w:tcW w:w="1277" w:type="dxa"/>
            <w:vAlign w:val="center"/>
          </w:tcPr>
          <w:p w14:paraId="104D9626" w14:textId="77777777" w:rsidR="00C92965" w:rsidRPr="006E31C1" w:rsidRDefault="00000000">
            <w:pPr>
              <w:jc w:val="center"/>
              <w:rPr>
                <w:rFonts w:ascii="Arial" w:hAnsi="Arial" w:cs="Arial"/>
                <w:sz w:val="16"/>
                <w:szCs w:val="16"/>
              </w:rPr>
            </w:pPr>
            <w:r w:rsidRPr="006E31C1">
              <w:rPr>
                <w:rFonts w:ascii="Arial" w:hAnsi="Arial" w:cs="Arial"/>
                <w:sz w:val="16"/>
                <w:szCs w:val="16"/>
              </w:rPr>
              <w:t>(0.0627)</w:t>
            </w:r>
          </w:p>
        </w:tc>
      </w:tr>
      <w:tr w:rsidR="00C92965" w:rsidRPr="006E31C1" w14:paraId="5D2C42E6" w14:textId="77777777">
        <w:trPr>
          <w:jc w:val="center"/>
        </w:trPr>
        <w:tc>
          <w:tcPr>
            <w:tcW w:w="2444" w:type="dxa"/>
            <w:vAlign w:val="center"/>
          </w:tcPr>
          <w:p w14:paraId="2C727B8D" w14:textId="77777777" w:rsidR="00C92965" w:rsidRPr="006E31C1" w:rsidRDefault="00C92965">
            <w:pPr>
              <w:jc w:val="center"/>
              <w:rPr>
                <w:rFonts w:ascii="Arial" w:hAnsi="Arial" w:cs="Arial"/>
                <w:sz w:val="16"/>
                <w:szCs w:val="16"/>
              </w:rPr>
            </w:pPr>
          </w:p>
        </w:tc>
        <w:tc>
          <w:tcPr>
            <w:tcW w:w="1262" w:type="dxa"/>
            <w:vAlign w:val="center"/>
          </w:tcPr>
          <w:p w14:paraId="3EFA9CBA" w14:textId="77777777" w:rsidR="00C92965" w:rsidRPr="006E31C1" w:rsidRDefault="00C92965">
            <w:pPr>
              <w:jc w:val="center"/>
              <w:rPr>
                <w:rFonts w:ascii="Arial" w:hAnsi="Arial" w:cs="Arial"/>
                <w:sz w:val="16"/>
                <w:szCs w:val="16"/>
              </w:rPr>
            </w:pPr>
          </w:p>
        </w:tc>
        <w:tc>
          <w:tcPr>
            <w:tcW w:w="1277" w:type="dxa"/>
            <w:vAlign w:val="center"/>
          </w:tcPr>
          <w:p w14:paraId="2F5B5081" w14:textId="77777777" w:rsidR="00C92965" w:rsidRPr="006E31C1" w:rsidRDefault="00C92965">
            <w:pPr>
              <w:jc w:val="center"/>
              <w:rPr>
                <w:rFonts w:ascii="Arial" w:hAnsi="Arial" w:cs="Arial"/>
                <w:sz w:val="16"/>
                <w:szCs w:val="16"/>
              </w:rPr>
            </w:pPr>
          </w:p>
        </w:tc>
      </w:tr>
      <w:tr w:rsidR="00C92965" w:rsidRPr="006E31C1" w14:paraId="138FD615" w14:textId="77777777">
        <w:trPr>
          <w:jc w:val="center"/>
        </w:trPr>
        <w:tc>
          <w:tcPr>
            <w:tcW w:w="4983" w:type="dxa"/>
            <w:gridSpan w:val="3"/>
            <w:tcBorders>
              <w:bottom w:val="single" w:sz="6" w:space="0" w:color="000000"/>
            </w:tcBorders>
            <w:vAlign w:val="center"/>
          </w:tcPr>
          <w:p w14:paraId="060F49D3" w14:textId="77777777" w:rsidR="00C92965" w:rsidRPr="006E31C1" w:rsidRDefault="00C92965">
            <w:pPr>
              <w:jc w:val="center"/>
              <w:rPr>
                <w:rFonts w:ascii="Arial" w:hAnsi="Arial" w:cs="Arial"/>
                <w:sz w:val="16"/>
                <w:szCs w:val="16"/>
              </w:rPr>
            </w:pPr>
          </w:p>
        </w:tc>
      </w:tr>
      <w:tr w:rsidR="00C92965" w:rsidRPr="006E31C1" w14:paraId="2825707A" w14:textId="77777777">
        <w:trPr>
          <w:jc w:val="center"/>
        </w:trPr>
        <w:tc>
          <w:tcPr>
            <w:tcW w:w="2444" w:type="dxa"/>
            <w:vAlign w:val="center"/>
          </w:tcPr>
          <w:p w14:paraId="1014A079" w14:textId="77777777" w:rsidR="00C92965" w:rsidRPr="006E31C1" w:rsidRDefault="00000000">
            <w:pPr>
              <w:jc w:val="center"/>
              <w:rPr>
                <w:rFonts w:ascii="Arial" w:hAnsi="Arial" w:cs="Arial"/>
                <w:sz w:val="16"/>
                <w:szCs w:val="16"/>
              </w:rPr>
            </w:pPr>
            <w:r w:rsidRPr="006E31C1">
              <w:rPr>
                <w:rFonts w:ascii="Arial" w:hAnsi="Arial" w:cs="Arial"/>
                <w:sz w:val="16"/>
                <w:szCs w:val="16"/>
              </w:rPr>
              <w:t>Observations</w:t>
            </w:r>
          </w:p>
        </w:tc>
        <w:tc>
          <w:tcPr>
            <w:tcW w:w="1262" w:type="dxa"/>
            <w:vAlign w:val="center"/>
          </w:tcPr>
          <w:p w14:paraId="025D0852" w14:textId="77777777" w:rsidR="00C92965" w:rsidRPr="006E31C1" w:rsidRDefault="00000000">
            <w:pPr>
              <w:jc w:val="center"/>
              <w:rPr>
                <w:rFonts w:ascii="Arial" w:hAnsi="Arial" w:cs="Arial"/>
                <w:sz w:val="16"/>
                <w:szCs w:val="16"/>
              </w:rPr>
            </w:pPr>
            <w:r w:rsidRPr="006E31C1">
              <w:rPr>
                <w:rFonts w:ascii="Arial" w:hAnsi="Arial" w:cs="Arial"/>
                <w:sz w:val="16"/>
                <w:szCs w:val="16"/>
              </w:rPr>
              <w:t>286</w:t>
            </w:r>
          </w:p>
        </w:tc>
        <w:tc>
          <w:tcPr>
            <w:tcW w:w="1277" w:type="dxa"/>
            <w:vAlign w:val="center"/>
          </w:tcPr>
          <w:p w14:paraId="4614D468" w14:textId="77777777" w:rsidR="00C92965" w:rsidRPr="006E31C1" w:rsidRDefault="00000000">
            <w:pPr>
              <w:jc w:val="center"/>
              <w:rPr>
                <w:rFonts w:ascii="Arial" w:hAnsi="Arial" w:cs="Arial"/>
                <w:sz w:val="16"/>
                <w:szCs w:val="16"/>
              </w:rPr>
            </w:pPr>
            <w:r w:rsidRPr="006E31C1">
              <w:rPr>
                <w:rFonts w:ascii="Arial" w:hAnsi="Arial" w:cs="Arial"/>
                <w:sz w:val="16"/>
                <w:szCs w:val="16"/>
              </w:rPr>
              <w:t>286</w:t>
            </w:r>
          </w:p>
        </w:tc>
      </w:tr>
      <w:tr w:rsidR="00C92965" w:rsidRPr="006E31C1" w14:paraId="01ED8543" w14:textId="77777777">
        <w:trPr>
          <w:jc w:val="center"/>
        </w:trPr>
        <w:tc>
          <w:tcPr>
            <w:tcW w:w="2444" w:type="dxa"/>
            <w:vAlign w:val="center"/>
          </w:tcPr>
          <w:p w14:paraId="3F58C8DE" w14:textId="77777777" w:rsidR="00C92965" w:rsidRPr="006E31C1" w:rsidRDefault="00000000">
            <w:pPr>
              <w:jc w:val="center"/>
              <w:rPr>
                <w:rFonts w:ascii="Arial" w:hAnsi="Arial" w:cs="Arial"/>
                <w:sz w:val="16"/>
                <w:szCs w:val="16"/>
              </w:rPr>
            </w:pPr>
            <w:proofErr w:type="spellStart"/>
            <w:r w:rsidRPr="006E31C1">
              <w:rPr>
                <w:rFonts w:ascii="Arial" w:hAnsi="Arial" w:cs="Arial"/>
                <w:sz w:val="16"/>
                <w:szCs w:val="16"/>
              </w:rPr>
              <w:t>Residual</w:t>
            </w:r>
            <w:proofErr w:type="spellEnd"/>
            <w:r w:rsidRPr="006E31C1">
              <w:rPr>
                <w:rFonts w:ascii="Arial" w:hAnsi="Arial" w:cs="Arial"/>
                <w:sz w:val="16"/>
                <w:szCs w:val="16"/>
              </w:rPr>
              <w:t xml:space="preserve"> Std. </w:t>
            </w:r>
            <w:proofErr w:type="spellStart"/>
            <w:r w:rsidRPr="006E31C1">
              <w:rPr>
                <w:rFonts w:ascii="Arial" w:hAnsi="Arial" w:cs="Arial"/>
                <w:sz w:val="16"/>
                <w:szCs w:val="16"/>
              </w:rPr>
              <w:t>Error</w:t>
            </w:r>
            <w:proofErr w:type="spellEnd"/>
            <w:r w:rsidRPr="006E31C1">
              <w:rPr>
                <w:rFonts w:ascii="Arial" w:hAnsi="Arial" w:cs="Arial"/>
                <w:sz w:val="16"/>
                <w:szCs w:val="16"/>
              </w:rPr>
              <w:t xml:space="preserve"> </w:t>
            </w:r>
          </w:p>
        </w:tc>
        <w:tc>
          <w:tcPr>
            <w:tcW w:w="1262" w:type="dxa"/>
            <w:vAlign w:val="center"/>
          </w:tcPr>
          <w:p w14:paraId="4C1ED09A" w14:textId="77777777" w:rsidR="00C92965" w:rsidRPr="006E31C1" w:rsidRDefault="00000000">
            <w:pPr>
              <w:jc w:val="center"/>
              <w:rPr>
                <w:rFonts w:ascii="Arial" w:hAnsi="Arial" w:cs="Arial"/>
                <w:sz w:val="16"/>
                <w:szCs w:val="16"/>
              </w:rPr>
            </w:pPr>
            <w:r w:rsidRPr="006E31C1">
              <w:rPr>
                <w:rFonts w:ascii="Arial" w:hAnsi="Arial" w:cs="Arial"/>
                <w:sz w:val="16"/>
                <w:szCs w:val="16"/>
              </w:rPr>
              <w:t>0.218</w:t>
            </w:r>
          </w:p>
        </w:tc>
        <w:tc>
          <w:tcPr>
            <w:tcW w:w="1277" w:type="dxa"/>
            <w:vAlign w:val="center"/>
          </w:tcPr>
          <w:p w14:paraId="5535899F" w14:textId="77777777" w:rsidR="00C92965" w:rsidRPr="006E31C1" w:rsidRDefault="00000000">
            <w:pPr>
              <w:jc w:val="center"/>
              <w:rPr>
                <w:rFonts w:ascii="Arial" w:hAnsi="Arial" w:cs="Arial"/>
                <w:sz w:val="16"/>
                <w:szCs w:val="16"/>
              </w:rPr>
            </w:pPr>
            <w:r w:rsidRPr="006E31C1">
              <w:rPr>
                <w:rFonts w:ascii="Arial" w:hAnsi="Arial" w:cs="Arial"/>
                <w:sz w:val="16"/>
                <w:szCs w:val="16"/>
              </w:rPr>
              <w:t>0.382</w:t>
            </w:r>
          </w:p>
        </w:tc>
      </w:tr>
      <w:tr w:rsidR="00C92965" w:rsidRPr="006E31C1" w14:paraId="6C423890" w14:textId="77777777">
        <w:trPr>
          <w:jc w:val="center"/>
        </w:trPr>
        <w:tc>
          <w:tcPr>
            <w:tcW w:w="4983" w:type="dxa"/>
            <w:gridSpan w:val="3"/>
            <w:tcBorders>
              <w:bottom w:val="single" w:sz="6" w:space="0" w:color="000000"/>
            </w:tcBorders>
            <w:vAlign w:val="center"/>
          </w:tcPr>
          <w:p w14:paraId="101E0F6B" w14:textId="77777777" w:rsidR="00C92965" w:rsidRPr="006E31C1" w:rsidRDefault="00C92965">
            <w:pPr>
              <w:jc w:val="center"/>
              <w:rPr>
                <w:rFonts w:ascii="Arial" w:hAnsi="Arial" w:cs="Arial"/>
                <w:sz w:val="16"/>
                <w:szCs w:val="16"/>
              </w:rPr>
            </w:pPr>
          </w:p>
        </w:tc>
      </w:tr>
      <w:tr w:rsidR="00C92965" w:rsidRPr="006E31C1" w14:paraId="2EEC35B7" w14:textId="77777777">
        <w:trPr>
          <w:jc w:val="center"/>
        </w:trPr>
        <w:tc>
          <w:tcPr>
            <w:tcW w:w="2444" w:type="dxa"/>
            <w:vAlign w:val="center"/>
          </w:tcPr>
          <w:p w14:paraId="4380E21A" w14:textId="77777777" w:rsidR="00C92965" w:rsidRPr="006E31C1" w:rsidRDefault="00000000">
            <w:pPr>
              <w:jc w:val="center"/>
              <w:rPr>
                <w:rFonts w:ascii="Arial" w:hAnsi="Arial" w:cs="Arial"/>
                <w:sz w:val="16"/>
                <w:szCs w:val="16"/>
              </w:rPr>
            </w:pPr>
            <w:proofErr w:type="gramStart"/>
            <w:r w:rsidRPr="006E31C1">
              <w:rPr>
                <w:rFonts w:ascii="Arial" w:hAnsi="Arial" w:cs="Arial"/>
                <w:i/>
                <w:sz w:val="16"/>
                <w:szCs w:val="16"/>
              </w:rPr>
              <w:t>Note:</w:t>
            </w:r>
            <w:proofErr w:type="gramEnd"/>
          </w:p>
        </w:tc>
        <w:tc>
          <w:tcPr>
            <w:tcW w:w="2539" w:type="dxa"/>
            <w:gridSpan w:val="2"/>
            <w:vAlign w:val="center"/>
          </w:tcPr>
          <w:p w14:paraId="426EC79A" w14:textId="77777777" w:rsidR="00C92965" w:rsidRPr="006E31C1" w:rsidRDefault="00000000">
            <w:pPr>
              <w:jc w:val="center"/>
              <w:rPr>
                <w:rFonts w:ascii="Arial" w:hAnsi="Arial" w:cs="Arial"/>
                <w:sz w:val="16"/>
                <w:szCs w:val="16"/>
              </w:rPr>
            </w:pPr>
            <w:r w:rsidRPr="006E31C1">
              <w:rPr>
                <w:rFonts w:ascii="Arial" w:hAnsi="Arial" w:cs="Arial"/>
                <w:sz w:val="16"/>
                <w:szCs w:val="16"/>
                <w:vertAlign w:val="superscript"/>
              </w:rPr>
              <w:t>*</w:t>
            </w:r>
            <w:r w:rsidRPr="006E31C1">
              <w:rPr>
                <w:rFonts w:ascii="Arial" w:hAnsi="Arial" w:cs="Arial"/>
                <w:sz w:val="16"/>
                <w:szCs w:val="16"/>
              </w:rPr>
              <w:t>p</w:t>
            </w:r>
            <w:r w:rsidRPr="006E31C1">
              <w:rPr>
                <w:rFonts w:ascii="Arial" w:hAnsi="Arial" w:cs="Arial"/>
                <w:sz w:val="16"/>
                <w:szCs w:val="16"/>
                <w:vertAlign w:val="superscript"/>
              </w:rPr>
              <w:t>**</w:t>
            </w:r>
            <w:r w:rsidRPr="006E31C1">
              <w:rPr>
                <w:rFonts w:ascii="Arial" w:hAnsi="Arial" w:cs="Arial"/>
                <w:sz w:val="16"/>
                <w:szCs w:val="16"/>
              </w:rPr>
              <w:t>p</w:t>
            </w:r>
            <w:r w:rsidRPr="006E31C1">
              <w:rPr>
                <w:rFonts w:ascii="Arial" w:hAnsi="Arial" w:cs="Arial"/>
                <w:sz w:val="16"/>
                <w:szCs w:val="16"/>
                <w:vertAlign w:val="superscript"/>
              </w:rPr>
              <w:t>***</w:t>
            </w:r>
            <w:r w:rsidRPr="006E31C1">
              <w:rPr>
                <w:rFonts w:ascii="Arial" w:hAnsi="Arial" w:cs="Arial"/>
                <w:sz w:val="16"/>
                <w:szCs w:val="16"/>
              </w:rPr>
              <w:t>p&lt;0.01</w:t>
            </w:r>
          </w:p>
        </w:tc>
      </w:tr>
    </w:tbl>
    <w:p w14:paraId="36D56DFF" w14:textId="77777777" w:rsidR="00C92965" w:rsidRPr="006E31C1" w:rsidRDefault="00C92965">
      <w:pPr>
        <w:rPr>
          <w:rFonts w:ascii="Arial" w:hAnsi="Arial" w:cs="Arial"/>
          <w:color w:val="0E101A"/>
          <w:sz w:val="28"/>
          <w:szCs w:val="28"/>
        </w:rPr>
      </w:pPr>
    </w:p>
    <w:p w14:paraId="34E9922D" w14:textId="77777777" w:rsidR="00C92965" w:rsidRPr="006E31C1" w:rsidRDefault="00000000">
      <w:pPr>
        <w:rPr>
          <w:rFonts w:ascii="Arial" w:eastAsia="Arial" w:hAnsi="Arial" w:cs="Arial"/>
          <w:color w:val="0E101A"/>
        </w:rPr>
      </w:pPr>
      <w:r w:rsidRPr="006E31C1">
        <w:rPr>
          <w:rFonts w:ascii="Arial" w:eastAsia="Arial" w:hAnsi="Arial" w:cs="Arial"/>
          <w:color w:val="0E101A"/>
        </w:rPr>
        <w:t>De plus cette modélisation nous permet d’estimer les matrices de transition pour chacune des séries :</w:t>
      </w:r>
    </w:p>
    <w:p w14:paraId="7F998735" w14:textId="77777777" w:rsidR="00C92965" w:rsidRPr="006E31C1" w:rsidRDefault="00C92965">
      <w:pPr>
        <w:rPr>
          <w:rFonts w:ascii="Arial" w:eastAsia="Arial" w:hAnsi="Arial" w:cs="Arial"/>
          <w:color w:val="0E101A"/>
        </w:rPr>
      </w:pPr>
    </w:p>
    <w:p w14:paraId="3FE50BAB" w14:textId="77777777" w:rsidR="00C92965" w:rsidRPr="006E31C1" w:rsidRDefault="00000000">
      <w:pPr>
        <w:numPr>
          <w:ilvl w:val="0"/>
          <w:numId w:val="1"/>
        </w:num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 xml:space="preserve">Pour les US : </w:t>
      </w:r>
    </w:p>
    <w:p w14:paraId="50FD6C12" w14:textId="77777777" w:rsidR="00C92965" w:rsidRPr="006E31C1" w:rsidRDefault="00C92965">
      <w:pPr>
        <w:pBdr>
          <w:top w:val="nil"/>
          <w:left w:val="nil"/>
          <w:bottom w:val="nil"/>
          <w:right w:val="nil"/>
          <w:between w:val="nil"/>
        </w:pBdr>
        <w:ind w:left="720"/>
        <w:rPr>
          <w:rFonts w:ascii="Arial" w:eastAsia="Arial" w:hAnsi="Arial" w:cs="Arial"/>
          <w:color w:val="0E101A"/>
        </w:rPr>
      </w:pPr>
    </w:p>
    <w:tbl>
      <w:tblPr>
        <w:tblStyle w:val="a3"/>
        <w:tblW w:w="58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9"/>
        <w:gridCol w:w="2027"/>
        <w:gridCol w:w="2223"/>
      </w:tblGrid>
      <w:tr w:rsidR="00C92965" w:rsidRPr="006E31C1" w14:paraId="709E5610" w14:textId="77777777">
        <w:trPr>
          <w:trHeight w:val="142"/>
          <w:jc w:val="center"/>
        </w:trPr>
        <w:tc>
          <w:tcPr>
            <w:tcW w:w="1579" w:type="dxa"/>
          </w:tcPr>
          <w:p w14:paraId="2527DD49" w14:textId="77777777" w:rsidR="00C92965" w:rsidRPr="006E31C1" w:rsidRDefault="00C92965">
            <w:pPr>
              <w:pBdr>
                <w:top w:val="nil"/>
                <w:left w:val="nil"/>
                <w:bottom w:val="nil"/>
                <w:right w:val="nil"/>
                <w:between w:val="nil"/>
              </w:pBdr>
              <w:rPr>
                <w:rFonts w:ascii="Arial" w:eastAsia="Arial" w:hAnsi="Arial" w:cs="Arial"/>
                <w:color w:val="0E101A"/>
              </w:rPr>
            </w:pPr>
          </w:p>
        </w:tc>
        <w:tc>
          <w:tcPr>
            <w:tcW w:w="2027" w:type="dxa"/>
          </w:tcPr>
          <w:p w14:paraId="0560FED5"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Régime 1</w:t>
            </w:r>
          </w:p>
        </w:tc>
        <w:tc>
          <w:tcPr>
            <w:tcW w:w="2223" w:type="dxa"/>
          </w:tcPr>
          <w:p w14:paraId="751CE587"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Régime 2</w:t>
            </w:r>
          </w:p>
        </w:tc>
      </w:tr>
      <w:tr w:rsidR="00C92965" w:rsidRPr="006E31C1" w14:paraId="2631BC01" w14:textId="77777777">
        <w:trPr>
          <w:trHeight w:val="135"/>
          <w:jc w:val="center"/>
        </w:trPr>
        <w:tc>
          <w:tcPr>
            <w:tcW w:w="1579" w:type="dxa"/>
          </w:tcPr>
          <w:p w14:paraId="0558A4EB"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Régime 1</w:t>
            </w:r>
          </w:p>
        </w:tc>
        <w:tc>
          <w:tcPr>
            <w:tcW w:w="2027" w:type="dxa"/>
          </w:tcPr>
          <w:p w14:paraId="34BB7DA6"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0.93509889</w:t>
            </w:r>
          </w:p>
        </w:tc>
        <w:tc>
          <w:tcPr>
            <w:tcW w:w="2223" w:type="dxa"/>
          </w:tcPr>
          <w:p w14:paraId="17D01E93"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0.4455353</w:t>
            </w:r>
          </w:p>
        </w:tc>
      </w:tr>
      <w:tr w:rsidR="00C92965" w:rsidRPr="006E31C1" w14:paraId="4AA3B8F7" w14:textId="77777777">
        <w:trPr>
          <w:trHeight w:val="142"/>
          <w:jc w:val="center"/>
        </w:trPr>
        <w:tc>
          <w:tcPr>
            <w:tcW w:w="1579" w:type="dxa"/>
          </w:tcPr>
          <w:p w14:paraId="5D063A98"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Régime 2</w:t>
            </w:r>
          </w:p>
        </w:tc>
        <w:tc>
          <w:tcPr>
            <w:tcW w:w="2027" w:type="dxa"/>
          </w:tcPr>
          <w:p w14:paraId="5302B6F4"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0.06490111</w:t>
            </w:r>
          </w:p>
        </w:tc>
        <w:tc>
          <w:tcPr>
            <w:tcW w:w="2223" w:type="dxa"/>
          </w:tcPr>
          <w:p w14:paraId="2A319166" w14:textId="77777777" w:rsidR="00C92965" w:rsidRPr="006E31C1" w:rsidRDefault="00000000">
            <w:p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0.5544647</w:t>
            </w:r>
          </w:p>
        </w:tc>
      </w:tr>
    </w:tbl>
    <w:p w14:paraId="05FBBD71" w14:textId="77777777" w:rsidR="00C92965" w:rsidRPr="006E31C1" w:rsidRDefault="00C92965">
      <w:pPr>
        <w:rPr>
          <w:rFonts w:ascii="Arial" w:eastAsia="Arial" w:hAnsi="Arial" w:cs="Arial"/>
          <w:color w:val="0E101A"/>
        </w:rPr>
      </w:pPr>
    </w:p>
    <w:p w14:paraId="259F4622" w14:textId="77777777" w:rsidR="00C92965" w:rsidRPr="006E31C1" w:rsidRDefault="00000000">
      <w:pPr>
        <w:numPr>
          <w:ilvl w:val="0"/>
          <w:numId w:val="1"/>
        </w:numPr>
        <w:pBdr>
          <w:top w:val="nil"/>
          <w:left w:val="nil"/>
          <w:bottom w:val="nil"/>
          <w:right w:val="nil"/>
          <w:between w:val="nil"/>
        </w:pBdr>
        <w:rPr>
          <w:rFonts w:ascii="Arial" w:eastAsia="Arial" w:hAnsi="Arial" w:cs="Arial"/>
          <w:color w:val="0E101A"/>
        </w:rPr>
      </w:pPr>
      <w:r w:rsidRPr="006E31C1">
        <w:rPr>
          <w:rFonts w:ascii="Arial" w:eastAsia="Arial" w:hAnsi="Arial" w:cs="Arial"/>
          <w:color w:val="0E101A"/>
        </w:rPr>
        <w:t>Pour la France :</w:t>
      </w:r>
    </w:p>
    <w:p w14:paraId="6A525506" w14:textId="77777777" w:rsidR="00C92965" w:rsidRPr="006E31C1" w:rsidRDefault="00C92965">
      <w:pPr>
        <w:pBdr>
          <w:top w:val="nil"/>
          <w:left w:val="nil"/>
          <w:bottom w:val="nil"/>
          <w:right w:val="nil"/>
          <w:between w:val="nil"/>
        </w:pBdr>
        <w:ind w:left="720"/>
        <w:rPr>
          <w:rFonts w:ascii="Arial" w:hAnsi="Arial" w:cs="Arial"/>
          <w:color w:val="0E101A"/>
          <w:sz w:val="28"/>
          <w:szCs w:val="28"/>
        </w:rPr>
      </w:pPr>
    </w:p>
    <w:tbl>
      <w:tblPr>
        <w:tblStyle w:val="a4"/>
        <w:tblW w:w="582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9"/>
        <w:gridCol w:w="2027"/>
        <w:gridCol w:w="2223"/>
      </w:tblGrid>
      <w:tr w:rsidR="00C92965" w:rsidRPr="006E31C1" w14:paraId="6D4B33B8" w14:textId="77777777">
        <w:trPr>
          <w:trHeight w:val="142"/>
          <w:jc w:val="center"/>
        </w:trPr>
        <w:tc>
          <w:tcPr>
            <w:tcW w:w="1579" w:type="dxa"/>
          </w:tcPr>
          <w:p w14:paraId="7394BCBD" w14:textId="77777777" w:rsidR="00C92965" w:rsidRPr="006E31C1" w:rsidRDefault="00C92965">
            <w:pPr>
              <w:pBdr>
                <w:top w:val="nil"/>
                <w:left w:val="nil"/>
                <w:bottom w:val="nil"/>
                <w:right w:val="nil"/>
                <w:between w:val="nil"/>
              </w:pBdr>
              <w:rPr>
                <w:rFonts w:ascii="Arial" w:hAnsi="Arial" w:cs="Arial"/>
                <w:color w:val="0E101A"/>
              </w:rPr>
            </w:pPr>
            <w:bookmarkStart w:id="1" w:name="bookmark=id.gjdgxs" w:colFirst="0" w:colLast="0"/>
            <w:bookmarkEnd w:id="1"/>
          </w:p>
        </w:tc>
        <w:tc>
          <w:tcPr>
            <w:tcW w:w="2027" w:type="dxa"/>
          </w:tcPr>
          <w:p w14:paraId="2C199EA4"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Régime 1</w:t>
            </w:r>
          </w:p>
        </w:tc>
        <w:tc>
          <w:tcPr>
            <w:tcW w:w="2223" w:type="dxa"/>
          </w:tcPr>
          <w:p w14:paraId="6DE7B658"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Régime 2</w:t>
            </w:r>
          </w:p>
        </w:tc>
      </w:tr>
      <w:tr w:rsidR="00C92965" w:rsidRPr="006E31C1" w14:paraId="73DBC587" w14:textId="77777777">
        <w:trPr>
          <w:trHeight w:val="135"/>
          <w:jc w:val="center"/>
        </w:trPr>
        <w:tc>
          <w:tcPr>
            <w:tcW w:w="1579" w:type="dxa"/>
          </w:tcPr>
          <w:p w14:paraId="790C0D74"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Régime 1</w:t>
            </w:r>
          </w:p>
        </w:tc>
        <w:tc>
          <w:tcPr>
            <w:tcW w:w="2027" w:type="dxa"/>
          </w:tcPr>
          <w:p w14:paraId="5E6D25D5"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0.9806144</w:t>
            </w:r>
          </w:p>
        </w:tc>
        <w:tc>
          <w:tcPr>
            <w:tcW w:w="2223" w:type="dxa"/>
          </w:tcPr>
          <w:p w14:paraId="1C513E9D"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0.02956501</w:t>
            </w:r>
          </w:p>
        </w:tc>
      </w:tr>
      <w:tr w:rsidR="00C92965" w:rsidRPr="006E31C1" w14:paraId="656FF642" w14:textId="77777777">
        <w:trPr>
          <w:trHeight w:val="142"/>
          <w:jc w:val="center"/>
        </w:trPr>
        <w:tc>
          <w:tcPr>
            <w:tcW w:w="1579" w:type="dxa"/>
          </w:tcPr>
          <w:p w14:paraId="5135CA99"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Régime 2</w:t>
            </w:r>
          </w:p>
        </w:tc>
        <w:tc>
          <w:tcPr>
            <w:tcW w:w="2027" w:type="dxa"/>
          </w:tcPr>
          <w:p w14:paraId="17AA217B"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0.0193856</w:t>
            </w:r>
          </w:p>
        </w:tc>
        <w:tc>
          <w:tcPr>
            <w:tcW w:w="2223" w:type="dxa"/>
          </w:tcPr>
          <w:p w14:paraId="74D3339D" w14:textId="77777777" w:rsidR="00C92965" w:rsidRPr="006E31C1" w:rsidRDefault="00000000">
            <w:pPr>
              <w:pBdr>
                <w:top w:val="nil"/>
                <w:left w:val="nil"/>
                <w:bottom w:val="nil"/>
                <w:right w:val="nil"/>
                <w:between w:val="nil"/>
              </w:pBdr>
              <w:rPr>
                <w:rFonts w:ascii="Arial" w:hAnsi="Arial" w:cs="Arial"/>
                <w:color w:val="0E101A"/>
              </w:rPr>
            </w:pPr>
            <w:r w:rsidRPr="006E31C1">
              <w:rPr>
                <w:rFonts w:ascii="Arial" w:hAnsi="Arial" w:cs="Arial"/>
                <w:color w:val="0E101A"/>
              </w:rPr>
              <w:t>0.97043499</w:t>
            </w:r>
          </w:p>
        </w:tc>
      </w:tr>
    </w:tbl>
    <w:p w14:paraId="1347354B" w14:textId="77777777" w:rsidR="00C92965" w:rsidRPr="006E31C1" w:rsidRDefault="00C92965">
      <w:pPr>
        <w:pBdr>
          <w:top w:val="nil"/>
          <w:left w:val="nil"/>
          <w:bottom w:val="nil"/>
          <w:right w:val="nil"/>
          <w:between w:val="nil"/>
        </w:pBdr>
        <w:ind w:left="720"/>
        <w:rPr>
          <w:rFonts w:ascii="Arial" w:hAnsi="Arial" w:cs="Arial"/>
          <w:color w:val="0E101A"/>
          <w:sz w:val="28"/>
          <w:szCs w:val="28"/>
        </w:rPr>
      </w:pPr>
    </w:p>
    <w:p w14:paraId="2DD446A1" w14:textId="77777777" w:rsidR="00C92965" w:rsidRPr="006E31C1" w:rsidRDefault="00000000">
      <w:pPr>
        <w:rPr>
          <w:rFonts w:ascii="Arial" w:eastAsia="Arial" w:hAnsi="Arial" w:cs="Arial"/>
          <w:color w:val="0E101A"/>
        </w:rPr>
      </w:pPr>
      <w:r w:rsidRPr="006E31C1">
        <w:rPr>
          <w:rFonts w:ascii="Arial" w:eastAsia="Arial" w:hAnsi="Arial" w:cs="Arial"/>
          <w:color w:val="0E101A"/>
        </w:rPr>
        <w:t xml:space="preserve">Sur le graphique ci-dessous on remarque que le modèle « fit » bien l’existence de deux régimes de forte et faible volatilité d’inflation : </w:t>
      </w:r>
    </w:p>
    <w:p w14:paraId="43A653CC" w14:textId="77777777" w:rsidR="00C92965" w:rsidRPr="006E31C1" w:rsidRDefault="00C92965">
      <w:pPr>
        <w:rPr>
          <w:rFonts w:ascii="Arial" w:eastAsia="Arial" w:hAnsi="Arial" w:cs="Arial"/>
          <w:color w:val="0E101A"/>
        </w:rPr>
      </w:pPr>
    </w:p>
    <w:p w14:paraId="5EE9939F" w14:textId="77777777" w:rsidR="00C92965" w:rsidRPr="006E31C1" w:rsidRDefault="00000000">
      <w:pPr>
        <w:jc w:val="center"/>
        <w:rPr>
          <w:rFonts w:ascii="Arial" w:eastAsia="Arial" w:hAnsi="Arial" w:cs="Arial"/>
          <w:color w:val="0E101A"/>
        </w:rPr>
      </w:pPr>
      <w:r w:rsidRPr="006E31C1">
        <w:rPr>
          <w:rFonts w:ascii="Arial" w:eastAsia="Arial" w:hAnsi="Arial" w:cs="Arial"/>
          <w:noProof/>
          <w:sz w:val="20"/>
          <w:szCs w:val="20"/>
        </w:rPr>
        <w:lastRenderedPageBreak/>
        <w:drawing>
          <wp:inline distT="0" distB="0" distL="0" distR="0" wp14:anchorId="2BA41575" wp14:editId="7D19B363">
            <wp:extent cx="5410200" cy="2600325"/>
            <wp:effectExtent l="0" t="0" r="0" b="9525"/>
            <wp:docPr id="12" name="image11.png"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1.png" descr="A graph of a graph&#10;&#10;Description automatically generated with medium confidence"/>
                    <pic:cNvPicPr preferRelativeResize="0"/>
                  </pic:nvPicPr>
                  <pic:blipFill>
                    <a:blip r:embed="rId19"/>
                    <a:srcRect/>
                    <a:stretch>
                      <a:fillRect/>
                    </a:stretch>
                  </pic:blipFill>
                  <pic:spPr>
                    <a:xfrm>
                      <a:off x="0" y="0"/>
                      <a:ext cx="5410200" cy="2600325"/>
                    </a:xfrm>
                    <a:prstGeom prst="rect">
                      <a:avLst/>
                    </a:prstGeom>
                    <a:ln/>
                  </pic:spPr>
                </pic:pic>
              </a:graphicData>
            </a:graphic>
          </wp:inline>
        </w:drawing>
      </w:r>
    </w:p>
    <w:p w14:paraId="41D124C9" w14:textId="77777777" w:rsidR="00C92965" w:rsidRPr="006E31C1" w:rsidRDefault="00C92965">
      <w:pPr>
        <w:rPr>
          <w:rFonts w:ascii="Arial" w:eastAsia="Arial" w:hAnsi="Arial" w:cs="Arial"/>
          <w:color w:val="0E101A"/>
        </w:rPr>
      </w:pPr>
    </w:p>
    <w:p w14:paraId="0F7D0DB0" w14:textId="6F168650" w:rsidR="00C92965" w:rsidRPr="006E31C1" w:rsidRDefault="00000000">
      <w:pPr>
        <w:rPr>
          <w:rFonts w:ascii="Arial" w:eastAsia="Arial" w:hAnsi="Arial" w:cs="Arial"/>
          <w:color w:val="0E101A"/>
        </w:rPr>
      </w:pPr>
      <w:r w:rsidRPr="006E31C1">
        <w:rPr>
          <w:rFonts w:ascii="Arial" w:eastAsia="Arial" w:hAnsi="Arial" w:cs="Arial"/>
          <w:color w:val="0E101A"/>
        </w:rPr>
        <w:t>Enfin on voit également que les probabilités lissées de chacun des régimes correspondent bien à notre graphique précédent : Le modèle semble donc bien calibré pour expliciter la volatilité de l’inflation</w:t>
      </w:r>
      <w:r w:rsidR="00B7479A" w:rsidRPr="006E31C1">
        <w:rPr>
          <w:rFonts w:ascii="Arial" w:eastAsia="Arial" w:hAnsi="Arial" w:cs="Arial"/>
          <w:color w:val="0E101A"/>
        </w:rPr>
        <w:t> : les prévisions sont donc réalistes.</w:t>
      </w:r>
    </w:p>
    <w:p w14:paraId="4B82C42C" w14:textId="77777777" w:rsidR="00C92965" w:rsidRDefault="00C92965">
      <w:pPr>
        <w:rPr>
          <w:color w:val="0E101A"/>
          <w:sz w:val="28"/>
          <w:szCs w:val="28"/>
        </w:rPr>
      </w:pPr>
    </w:p>
    <w:p w14:paraId="72AC9E67" w14:textId="77777777" w:rsidR="00C92965" w:rsidRDefault="00000000">
      <w:pPr>
        <w:jc w:val="center"/>
        <w:rPr>
          <w:color w:val="0E101A"/>
          <w:sz w:val="28"/>
          <w:szCs w:val="28"/>
        </w:rPr>
      </w:pPr>
      <w:r>
        <w:rPr>
          <w:noProof/>
        </w:rPr>
        <w:drawing>
          <wp:inline distT="0" distB="0" distL="0" distR="0" wp14:anchorId="04DAD422" wp14:editId="5A08DF43">
            <wp:extent cx="5760720" cy="3238500"/>
            <wp:effectExtent l="0" t="0" r="0" b="0"/>
            <wp:docPr id="11" name="image4.png" descr="Une image contenant capture d’écran, texte, diagramme,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4.png" descr="Une image contenant capture d’écran, texte, diagramme, ligne&#10;&#10;Description générée automatiquement"/>
                    <pic:cNvPicPr preferRelativeResize="0"/>
                  </pic:nvPicPr>
                  <pic:blipFill>
                    <a:blip r:embed="rId20"/>
                    <a:srcRect/>
                    <a:stretch>
                      <a:fillRect/>
                    </a:stretch>
                  </pic:blipFill>
                  <pic:spPr>
                    <a:xfrm>
                      <a:off x="0" y="0"/>
                      <a:ext cx="5760720" cy="3238500"/>
                    </a:xfrm>
                    <a:prstGeom prst="rect">
                      <a:avLst/>
                    </a:prstGeom>
                    <a:ln/>
                  </pic:spPr>
                </pic:pic>
              </a:graphicData>
            </a:graphic>
          </wp:inline>
        </w:drawing>
      </w:r>
    </w:p>
    <w:sectPr w:rsidR="00C92965">
      <w:footerReference w:type="even" r:id="rId21"/>
      <w:footerReference w:type="default" r:id="rId22"/>
      <w:pgSz w:w="11909" w:h="16834"/>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642B0" w14:textId="77777777" w:rsidR="00574B81" w:rsidRDefault="00574B81">
      <w:r>
        <w:separator/>
      </w:r>
    </w:p>
  </w:endnote>
  <w:endnote w:type="continuationSeparator" w:id="0">
    <w:p w14:paraId="23B554B3" w14:textId="77777777" w:rsidR="00574B81" w:rsidRDefault="0057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E45E" w14:textId="77777777" w:rsidR="00C92965"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702A231" w14:textId="77777777" w:rsidR="00C92965" w:rsidRDefault="00C92965">
    <w:pPr>
      <w:pBdr>
        <w:top w:val="nil"/>
        <w:left w:val="nil"/>
        <w:bottom w:val="nil"/>
        <w:right w:val="nil"/>
        <w:between w:val="nil"/>
      </w:pBdr>
      <w:tabs>
        <w:tab w:val="center" w:pos="4536"/>
        <w:tab w:val="right" w:pos="9072"/>
      </w:tabs>
      <w:ind w:right="360"/>
      <w:jc w:val="right"/>
      <w:rPr>
        <w:rFonts w:ascii="Arial" w:eastAsia="Arial" w:hAnsi="Arial" w:cs="Arial"/>
        <w:color w:val="000000"/>
        <w:sz w:val="22"/>
        <w:szCs w:val="22"/>
      </w:rPr>
    </w:pPr>
  </w:p>
  <w:p w14:paraId="6B152CE8" w14:textId="77777777" w:rsidR="00C92965" w:rsidRDefault="00C92965">
    <w:pPr>
      <w:pBdr>
        <w:top w:val="nil"/>
        <w:left w:val="nil"/>
        <w:bottom w:val="nil"/>
        <w:right w:val="nil"/>
        <w:between w:val="nil"/>
      </w:pBdr>
      <w:tabs>
        <w:tab w:val="center" w:pos="4536"/>
        <w:tab w:val="right" w:pos="9072"/>
      </w:tabs>
      <w:ind w:right="360"/>
      <w:rPr>
        <w:rFonts w:ascii="Arial" w:eastAsia="Arial" w:hAnsi="Arial" w:cs="Arial"/>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6C3F" w14:textId="77777777" w:rsidR="00C92965"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001A58">
      <w:rPr>
        <w:noProof/>
        <w:color w:val="000000"/>
      </w:rPr>
      <w:t>2</w:t>
    </w:r>
    <w:r>
      <w:rPr>
        <w:color w:val="000000"/>
      </w:rPr>
      <w:fldChar w:fldCharType="end"/>
    </w:r>
  </w:p>
  <w:p w14:paraId="5F3B6F92" w14:textId="77777777" w:rsidR="00C92965" w:rsidRDefault="00C92965">
    <w:pPr>
      <w:pBdr>
        <w:top w:val="nil"/>
        <w:left w:val="nil"/>
        <w:bottom w:val="nil"/>
        <w:right w:val="nil"/>
        <w:between w:val="nil"/>
      </w:pBdr>
      <w:tabs>
        <w:tab w:val="center" w:pos="4536"/>
        <w:tab w:val="right" w:pos="9072"/>
      </w:tabs>
      <w:ind w:right="360"/>
      <w:rPr>
        <w:rFonts w:ascii="Arial" w:eastAsia="Arial" w:hAnsi="Arial" w:cs="Arial"/>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0AE2" w14:textId="77777777" w:rsidR="00574B81" w:rsidRDefault="00574B81">
      <w:r>
        <w:separator/>
      </w:r>
    </w:p>
  </w:footnote>
  <w:footnote w:type="continuationSeparator" w:id="0">
    <w:p w14:paraId="26A41CE9" w14:textId="77777777" w:rsidR="00574B81" w:rsidRDefault="00574B81">
      <w:r>
        <w:continuationSeparator/>
      </w:r>
    </w:p>
  </w:footnote>
  <w:footnote w:id="1">
    <w:p w14:paraId="51262F83" w14:textId="72B0AA53" w:rsidR="00B441EA" w:rsidRPr="00B441EA" w:rsidRDefault="00B441EA" w:rsidP="00B441EA">
      <w:pPr>
        <w:jc w:val="both"/>
        <w:rPr>
          <w:rFonts w:ascii="Arial" w:eastAsia="Arial" w:hAnsi="Arial" w:cs="Arial"/>
          <w:i/>
          <w:color w:val="0E101A"/>
          <w:sz w:val="16"/>
          <w:szCs w:val="16"/>
        </w:rPr>
      </w:pPr>
      <w:r>
        <w:rPr>
          <w:rStyle w:val="Appelnotedebasdep"/>
        </w:rPr>
        <w:footnoteRef/>
      </w:r>
      <w:r>
        <w:t xml:space="preserve"> </w:t>
      </w:r>
      <w:r w:rsidRPr="00011A44">
        <w:rPr>
          <w:rFonts w:ascii="Arial" w:eastAsia="Arial" w:hAnsi="Arial" w:cs="Arial"/>
          <w:i/>
          <w:color w:val="0E101A"/>
          <w:sz w:val="16"/>
          <w:szCs w:val="16"/>
        </w:rPr>
        <w:t>Donnée France CPI Novembre</w:t>
      </w:r>
      <w:r>
        <w:rPr>
          <w:rFonts w:ascii="Arial" w:eastAsia="Arial" w:hAnsi="Arial" w:cs="Arial"/>
          <w:i/>
          <w:color w:val="0E101A"/>
          <w:sz w:val="16"/>
          <w:szCs w:val="16"/>
        </w:rPr>
        <w:t xml:space="preserve"> 2023</w:t>
      </w:r>
      <w:r w:rsidRPr="00011A44">
        <w:rPr>
          <w:rFonts w:ascii="Arial" w:eastAsia="Arial" w:hAnsi="Arial" w:cs="Arial"/>
          <w:i/>
          <w:color w:val="0E101A"/>
          <w:sz w:val="16"/>
          <w:szCs w:val="16"/>
        </w:rPr>
        <w:t xml:space="preserve"> déjà disponible</w:t>
      </w:r>
    </w:p>
  </w:footnote>
  <w:footnote w:id="2">
    <w:p w14:paraId="7BC95E93" w14:textId="201E370F" w:rsidR="00C92965"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w:t>
      </w:r>
      <w:r w:rsidR="00001A58">
        <w:rPr>
          <w:color w:val="000000"/>
          <w:sz w:val="20"/>
          <w:szCs w:val="20"/>
        </w:rPr>
        <w:t>Source :</w:t>
      </w:r>
      <w:r>
        <w:rPr>
          <w:color w:val="000000"/>
          <w:sz w:val="20"/>
          <w:szCs w:val="20"/>
        </w:rPr>
        <w:t xml:space="preserve"> Bloomberg du 01/01/2000 au 06/12/2023</w:t>
      </w:r>
    </w:p>
  </w:footnote>
  <w:footnote w:id="3">
    <w:p w14:paraId="773E2D87" w14:textId="77777777" w:rsidR="00C92965" w:rsidRDefault="00000000">
      <w:pPr>
        <w:pBdr>
          <w:top w:val="nil"/>
          <w:left w:val="nil"/>
          <w:bottom w:val="nil"/>
          <w:right w:val="nil"/>
          <w:between w:val="nil"/>
        </w:pBdr>
        <w:rPr>
          <w:color w:val="000000"/>
          <w:sz w:val="18"/>
          <w:szCs w:val="18"/>
        </w:rPr>
      </w:pPr>
      <w:r>
        <w:rPr>
          <w:vertAlign w:val="superscript"/>
        </w:rPr>
        <w:footnoteRef/>
      </w:r>
      <w:r>
        <w:rPr>
          <w:color w:val="000000"/>
          <w:sz w:val="18"/>
          <w:szCs w:val="18"/>
        </w:rPr>
        <w:t xml:space="preserve"> </w:t>
      </w:r>
      <w:r w:rsidRPr="00011A44">
        <w:rPr>
          <w:rFonts w:ascii="Arial" w:eastAsia="Helvetica Neue" w:hAnsi="Arial" w:cs="Arial"/>
          <w:color w:val="000000"/>
          <w:sz w:val="20"/>
          <w:szCs w:val="20"/>
          <w:highlight w:val="white"/>
        </w:rPr>
        <w:t xml:space="preserve">J.D Hamilton (1969) A new </w:t>
      </w:r>
      <w:proofErr w:type="spellStart"/>
      <w:r w:rsidRPr="00011A44">
        <w:rPr>
          <w:rFonts w:ascii="Arial" w:eastAsia="Helvetica Neue" w:hAnsi="Arial" w:cs="Arial"/>
          <w:color w:val="000000"/>
          <w:sz w:val="20"/>
          <w:szCs w:val="20"/>
          <w:highlight w:val="white"/>
        </w:rPr>
        <w:t>approach</w:t>
      </w:r>
      <w:proofErr w:type="spellEnd"/>
      <w:r w:rsidRPr="00011A44">
        <w:rPr>
          <w:rFonts w:ascii="Arial" w:eastAsia="Helvetica Neue" w:hAnsi="Arial" w:cs="Arial"/>
          <w:color w:val="000000"/>
          <w:sz w:val="20"/>
          <w:szCs w:val="20"/>
          <w:highlight w:val="white"/>
        </w:rPr>
        <w:t xml:space="preserve"> to the </w:t>
      </w:r>
      <w:proofErr w:type="spellStart"/>
      <w:r w:rsidRPr="00011A44">
        <w:rPr>
          <w:rFonts w:ascii="Arial" w:eastAsia="Helvetica Neue" w:hAnsi="Arial" w:cs="Arial"/>
          <w:color w:val="000000"/>
          <w:sz w:val="20"/>
          <w:szCs w:val="20"/>
          <w:highlight w:val="white"/>
        </w:rPr>
        <w:t>economic</w:t>
      </w:r>
      <w:proofErr w:type="spellEnd"/>
      <w:r w:rsidRPr="00011A44">
        <w:rPr>
          <w:rFonts w:ascii="Arial" w:eastAsia="Helvetica Neue" w:hAnsi="Arial" w:cs="Arial"/>
          <w:color w:val="000000"/>
          <w:sz w:val="20"/>
          <w:szCs w:val="20"/>
          <w:highlight w:val="white"/>
        </w:rPr>
        <w:t xml:space="preserve"> </w:t>
      </w:r>
      <w:proofErr w:type="spellStart"/>
      <w:r w:rsidRPr="00011A44">
        <w:rPr>
          <w:rFonts w:ascii="Arial" w:eastAsia="Helvetica Neue" w:hAnsi="Arial" w:cs="Arial"/>
          <w:color w:val="000000"/>
          <w:sz w:val="20"/>
          <w:szCs w:val="20"/>
          <w:highlight w:val="white"/>
        </w:rPr>
        <w:t>analysis</w:t>
      </w:r>
      <w:proofErr w:type="spellEnd"/>
      <w:r w:rsidRPr="00011A44">
        <w:rPr>
          <w:rFonts w:ascii="Arial" w:eastAsia="Helvetica Neue" w:hAnsi="Arial" w:cs="Arial"/>
          <w:color w:val="000000"/>
          <w:sz w:val="20"/>
          <w:szCs w:val="20"/>
          <w:highlight w:val="white"/>
        </w:rPr>
        <w:t xml:space="preserve"> of </w:t>
      </w:r>
      <w:proofErr w:type="spellStart"/>
      <w:r w:rsidRPr="00011A44">
        <w:rPr>
          <w:rFonts w:ascii="Arial" w:eastAsia="Helvetica Neue" w:hAnsi="Arial" w:cs="Arial"/>
          <w:color w:val="000000"/>
          <w:sz w:val="20"/>
          <w:szCs w:val="20"/>
          <w:highlight w:val="white"/>
        </w:rPr>
        <w:t>nonstationary</w:t>
      </w:r>
      <w:proofErr w:type="spellEnd"/>
      <w:r w:rsidRPr="00011A44">
        <w:rPr>
          <w:rFonts w:ascii="Arial" w:eastAsia="Helvetica Neue" w:hAnsi="Arial" w:cs="Arial"/>
          <w:color w:val="000000"/>
          <w:sz w:val="20"/>
          <w:szCs w:val="20"/>
          <w:highlight w:val="white"/>
        </w:rPr>
        <w:t xml:space="preserve"> time </w:t>
      </w:r>
      <w:proofErr w:type="spellStart"/>
      <w:r w:rsidRPr="00011A44">
        <w:rPr>
          <w:rFonts w:ascii="Arial" w:eastAsia="Helvetica Neue" w:hAnsi="Arial" w:cs="Arial"/>
          <w:color w:val="000000"/>
          <w:sz w:val="20"/>
          <w:szCs w:val="20"/>
          <w:highlight w:val="white"/>
        </w:rPr>
        <w:t>series</w:t>
      </w:r>
      <w:proofErr w:type="spellEnd"/>
      <w:r w:rsidRPr="00011A44">
        <w:rPr>
          <w:rFonts w:ascii="Arial" w:eastAsia="Helvetica Neue" w:hAnsi="Arial" w:cs="Arial"/>
          <w:color w:val="000000"/>
          <w:sz w:val="20"/>
          <w:szCs w:val="20"/>
          <w:highlight w:val="white"/>
        </w:rPr>
        <w:t xml:space="preserve"> and the business cycle. </w:t>
      </w:r>
      <w:proofErr w:type="spellStart"/>
      <w:r w:rsidRPr="00011A44">
        <w:rPr>
          <w:rFonts w:ascii="Arial" w:eastAsia="Helvetica Neue" w:hAnsi="Arial" w:cs="Arial"/>
          <w:i/>
          <w:color w:val="000000"/>
          <w:sz w:val="20"/>
          <w:szCs w:val="20"/>
          <w:highlight w:val="white"/>
        </w:rPr>
        <w:t>Econometrica</w:t>
      </w:r>
      <w:proofErr w:type="spellEnd"/>
      <w:r w:rsidRPr="00011A44">
        <w:rPr>
          <w:rFonts w:ascii="Arial" w:eastAsia="Helvetica Neue" w:hAnsi="Arial" w:cs="Arial"/>
          <w:color w:val="000000"/>
          <w:sz w:val="20"/>
          <w:szCs w:val="20"/>
          <w:highlight w:val="white"/>
        </w:rPr>
        <w:t> 57 : 357–384.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1C8D"/>
    <w:multiLevelType w:val="multilevel"/>
    <w:tmpl w:val="23A032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1F0074"/>
    <w:multiLevelType w:val="multilevel"/>
    <w:tmpl w:val="1018D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7E039B"/>
    <w:multiLevelType w:val="multilevel"/>
    <w:tmpl w:val="08064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F44389"/>
    <w:multiLevelType w:val="multilevel"/>
    <w:tmpl w:val="4CE42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B34C77"/>
    <w:multiLevelType w:val="multilevel"/>
    <w:tmpl w:val="7E0E70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F85DBE"/>
    <w:multiLevelType w:val="multilevel"/>
    <w:tmpl w:val="25163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D26818"/>
    <w:multiLevelType w:val="multilevel"/>
    <w:tmpl w:val="52920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A915FE"/>
    <w:multiLevelType w:val="multilevel"/>
    <w:tmpl w:val="C820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520121">
    <w:abstractNumId w:val="6"/>
  </w:num>
  <w:num w:numId="2" w16cid:durableId="1260606314">
    <w:abstractNumId w:val="3"/>
  </w:num>
  <w:num w:numId="3" w16cid:durableId="1077895997">
    <w:abstractNumId w:val="2"/>
  </w:num>
  <w:num w:numId="4" w16cid:durableId="354162548">
    <w:abstractNumId w:val="7"/>
  </w:num>
  <w:num w:numId="5" w16cid:durableId="1699509009">
    <w:abstractNumId w:val="5"/>
  </w:num>
  <w:num w:numId="6" w16cid:durableId="358745452">
    <w:abstractNumId w:val="4"/>
  </w:num>
  <w:num w:numId="7" w16cid:durableId="1604335496">
    <w:abstractNumId w:val="1"/>
  </w:num>
  <w:num w:numId="8" w16cid:durableId="463353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65"/>
    <w:rsid w:val="00001A58"/>
    <w:rsid w:val="00011A44"/>
    <w:rsid w:val="00067716"/>
    <w:rsid w:val="002610A6"/>
    <w:rsid w:val="00574B81"/>
    <w:rsid w:val="006E31C1"/>
    <w:rsid w:val="007711A6"/>
    <w:rsid w:val="008D7E70"/>
    <w:rsid w:val="00A6418D"/>
    <w:rsid w:val="00B441EA"/>
    <w:rsid w:val="00B7479A"/>
    <w:rsid w:val="00C92965"/>
    <w:rsid w:val="00D20D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9B13"/>
  <w15:docId w15:val="{44CAF077-73E4-4AA6-8D26-27296C14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rPr>
  </w:style>
  <w:style w:type="paragraph" w:styleId="Titre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Notedebasdepage">
    <w:name w:val="footnote text"/>
    <w:basedOn w:val="Normal"/>
    <w:link w:val="NotedebasdepageCar"/>
    <w:uiPriority w:val="99"/>
    <w:semiHidden/>
    <w:unhideWhenUsed/>
    <w:rsid w:val="00B441EA"/>
    <w:rPr>
      <w:sz w:val="20"/>
      <w:szCs w:val="20"/>
    </w:rPr>
  </w:style>
  <w:style w:type="character" w:customStyle="1" w:styleId="NotedebasdepageCar">
    <w:name w:val="Note de bas de page Car"/>
    <w:basedOn w:val="Policepardfaut"/>
    <w:link w:val="Notedebasdepage"/>
    <w:uiPriority w:val="99"/>
    <w:semiHidden/>
    <w:rsid w:val="00B441EA"/>
    <w:rPr>
      <w:sz w:val="20"/>
      <w:szCs w:val="20"/>
    </w:rPr>
  </w:style>
  <w:style w:type="character" w:styleId="Appelnotedebasdep">
    <w:name w:val="footnote reference"/>
    <w:basedOn w:val="Policepardfaut"/>
    <w:uiPriority w:val="99"/>
    <w:semiHidden/>
    <w:unhideWhenUsed/>
    <w:rsid w:val="00B441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LEtEJMCxTc/vesKp4hHuGiW2g==">CgMxLjAaJAoBMBIfCh0IB0IZCgVBcmlhbBIQQXJpYWwgVW5pY29kZSBNUxokCgExEh8KHQgHQhkKBUFyaWFsEhBBcmlhbCBVbmljb2RlIE1TGiQKATISHwodCAdCGQoFQXJpYWwSEEFyaWFsIFVuaWNvZGUgTVMaJAoBMxIfCh0IB0IZCgVBcmlhbBIQQXJpYWwgVW5pY29kZSBNUzIJaWQuZ2pkZ3hzOAByITFMTTBuRm5PdXdYQ1FNUTAwUXlybEYteEptcXh3MHhjYQ==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1AE38B-169A-4BBE-A2C4-FFB19C67D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2500</Words>
  <Characters>13755</Characters>
  <Application>Microsoft Office Word</Application>
  <DocSecurity>0</DocSecurity>
  <Lines>114</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Naïm Lehbiben</cp:lastModifiedBy>
  <cp:revision>11</cp:revision>
  <dcterms:created xsi:type="dcterms:W3CDTF">2023-12-10T10:43:00Z</dcterms:created>
  <dcterms:modified xsi:type="dcterms:W3CDTF">2023-12-10T20:41:00Z</dcterms:modified>
</cp:coreProperties>
</file>