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6FD" w14:textId="0A4BF0DA" w:rsidR="00046270" w:rsidRDefault="000D0504" w:rsidP="00CF26E0">
      <w:pPr>
        <w:adjustRightInd w:val="0"/>
        <w:snapToGrid w:val="0"/>
        <w:spacing w:afterLines="100" w:after="360" w:line="0" w:lineRule="atLeast"/>
        <w:jc w:val="center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C72E9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本行</w:t>
      </w:r>
      <w:proofErr w:type="gramStart"/>
      <w:r w:rsidRPr="00C72E9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與</w:t>
      </w:r>
      <w:r w:rsidR="002B4439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天興實業</w:t>
      </w:r>
      <w:proofErr w:type="gramEnd"/>
      <w:r w:rsidR="002B4439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(</w:t>
      </w:r>
      <w:r w:rsidR="002B4439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股</w:t>
      </w:r>
      <w:r w:rsidR="002B4439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)</w:t>
      </w:r>
      <w:r w:rsidR="002B4439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公司代收款</w:t>
      </w:r>
      <w:r w:rsidR="00046270" w:rsidRPr="00C72E98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可行性評估</w:t>
      </w:r>
      <w:r w:rsidRPr="00C72E9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報告</w:t>
      </w:r>
    </w:p>
    <w:p w14:paraId="1201A68E" w14:textId="7B0E0C52" w:rsidR="00CF26E0" w:rsidRPr="00CF26E0" w:rsidRDefault="00CF26E0" w:rsidP="00CF26E0">
      <w:pPr>
        <w:adjustRightInd w:val="0"/>
        <w:snapToGrid w:val="0"/>
        <w:spacing w:afterLines="50" w:after="180" w:line="0" w:lineRule="atLeast"/>
        <w:jc w:val="right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數位金融處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202</w:t>
      </w:r>
      <w:r w:rsidR="002B4439">
        <w:rPr>
          <w:rFonts w:ascii="Times New Roman" w:eastAsia="標楷體" w:hAnsi="Times New Roman" w:cs="Times New Roman" w:hint="eastAsia"/>
          <w:color w:val="000000" w:themeColor="text1"/>
          <w:szCs w:val="24"/>
        </w:rPr>
        <w:t>5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  <w:r w:rsidR="002B4439">
        <w:rPr>
          <w:rFonts w:ascii="Times New Roman" w:eastAsia="標楷體" w:hAnsi="Times New Roman" w:cs="Times New Roman" w:hint="eastAsia"/>
          <w:color w:val="000000" w:themeColor="text1"/>
          <w:szCs w:val="24"/>
        </w:rPr>
        <w:t>10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  <w:r w:rsidR="002B4439">
        <w:rPr>
          <w:rFonts w:ascii="Times New Roman" w:eastAsia="標楷體" w:hAnsi="Times New Roman" w:cs="Times New Roman" w:hint="eastAsia"/>
          <w:color w:val="000000" w:themeColor="text1"/>
          <w:szCs w:val="24"/>
        </w:rPr>
        <w:t>29</w:t>
      </w:r>
    </w:p>
    <w:p w14:paraId="645F435E" w14:textId="3CCE0083" w:rsidR="005E5E63" w:rsidRPr="00C37B7E" w:rsidRDefault="00B456C9" w:rsidP="00C37B7E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Recape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  <w:r w:rsidR="004D70FE">
        <w:rPr>
          <w:rFonts w:ascii="Times New Roman" w:eastAsia="標楷體" w:hAnsi="Times New Roman" w:cs="Times New Roman" w:hint="eastAsia"/>
          <w:color w:val="000000" w:themeColor="text1"/>
          <w:szCs w:val="24"/>
        </w:rPr>
        <w:t>針對今年</w:t>
      </w:r>
      <w:r w:rsidR="004D70FE">
        <w:rPr>
          <w:rFonts w:ascii="Times New Roman" w:eastAsia="標楷體" w:hAnsi="Times New Roman" w:cs="Times New Roman" w:hint="eastAsia"/>
          <w:color w:val="000000" w:themeColor="text1"/>
          <w:szCs w:val="24"/>
        </w:rPr>
        <w:t>4/10</w:t>
      </w:r>
      <w:proofErr w:type="gramStart"/>
      <w:r w:rsidR="004D70FE">
        <w:rPr>
          <w:rFonts w:ascii="Times New Roman" w:eastAsia="標楷體" w:hAnsi="Times New Roman" w:cs="Times New Roman" w:hint="eastAsia"/>
          <w:color w:val="000000" w:themeColor="text1"/>
          <w:szCs w:val="24"/>
        </w:rPr>
        <w:t>與天興實業</w:t>
      </w:r>
      <w:proofErr w:type="gramEnd"/>
      <w:r w:rsidR="004D70FE">
        <w:rPr>
          <w:rFonts w:ascii="Times New Roman" w:eastAsia="標楷體" w:hAnsi="Times New Roman" w:cs="Times New Roman" w:hint="eastAsia"/>
          <w:color w:val="000000" w:themeColor="text1"/>
          <w:szCs w:val="24"/>
        </w:rPr>
        <w:t>視訊會議中，</w:t>
      </w:r>
      <w:r w:rsid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客戶提出三點需求：</w:t>
      </w:r>
      <w:proofErr w:type="gramStart"/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【</w:t>
      </w:r>
      <w:proofErr w:type="gramEnd"/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1. 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即時產製虛擬帳號、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2. 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即時產製繳費單據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超商繳費條碼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、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3. 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即時繳款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民眾可立即持超商繳費條碼至超商櫃檯繳款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C37B7E" w:rsidRP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」之需求</w:t>
      </w:r>
      <w:proofErr w:type="gramStart"/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】</w:t>
      </w:r>
      <w:proofErr w:type="gramEnd"/>
      <w:r w:rsid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；</w:t>
      </w:r>
      <w:proofErr w:type="gramStart"/>
      <w:r w:rsid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惟考量資安風險</w:t>
      </w:r>
      <w:proofErr w:type="gramEnd"/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及客戶需滿足以下條件</w:t>
      </w:r>
      <w:r w:rsidR="00C37B7E">
        <w:rPr>
          <w:rFonts w:ascii="Times New Roman" w:eastAsia="標楷體" w:hAnsi="Times New Roman" w:cs="Times New Roman" w:hint="eastAsia"/>
          <w:color w:val="000000" w:themeColor="text1"/>
          <w:szCs w:val="24"/>
        </w:rPr>
        <w:t>，如：</w:t>
      </w:r>
      <w:proofErr w:type="gramStart"/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【</w:t>
      </w:r>
      <w:proofErr w:type="gramEnd"/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1. </w:t>
      </w:r>
      <w:r w:rsidR="008C5AD4">
        <w:rPr>
          <w:rFonts w:ascii="Times New Roman" w:eastAsia="標楷體" w:hAnsi="Times New Roman" w:cs="Times New Roman" w:hint="eastAsia"/>
          <w:color w:val="000000" w:themeColor="text1"/>
          <w:szCs w:val="24"/>
        </w:rPr>
        <w:t>客戶需具備</w:t>
      </w:r>
      <w:r w:rsidR="008C5AD4">
        <w:rPr>
          <w:rFonts w:ascii="Times New Roman" w:eastAsia="標楷體" w:hAnsi="Times New Roman" w:cs="Times New Roman" w:hint="eastAsia"/>
          <w:color w:val="000000" w:themeColor="text1"/>
          <w:szCs w:val="24"/>
        </w:rPr>
        <w:t>ISO/IEC27001</w:t>
      </w:r>
      <w:r w:rsidR="008C5AD4">
        <w:rPr>
          <w:rFonts w:ascii="Times New Roman" w:eastAsia="標楷體" w:hAnsi="Times New Roman" w:cs="Times New Roman" w:hint="eastAsia"/>
          <w:color w:val="000000" w:themeColor="text1"/>
          <w:szCs w:val="24"/>
        </w:rPr>
        <w:t>資訊安全管理國際標準認證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、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2. 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進行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AML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洗錢防制風險等級評估、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3. 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將本行「資通系統與服務供應鏈風險管理規範」納入雙方合作契約、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3. 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遵循本行</w:t>
      </w:r>
      <w:r w:rsidR="007C1D22" w:rsidRP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「高雄銀行資訊處應用程式介面</w:t>
      </w:r>
      <w:r w:rsidR="007C1D22" w:rsidRP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(API)</w:t>
      </w:r>
      <w:r w:rsidR="007C1D22" w:rsidRP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管理規範</w:t>
      </w:r>
      <w:r w:rsidR="007C1D22">
        <w:rPr>
          <w:rFonts w:ascii="Times New Roman" w:eastAsia="標楷體" w:hAnsi="Times New Roman" w:cs="Times New Roman" w:hint="eastAsia"/>
          <w:color w:val="000000" w:themeColor="text1"/>
          <w:szCs w:val="24"/>
        </w:rPr>
        <w:t>」</w:t>
      </w:r>
      <w:proofErr w:type="gramStart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】</w:t>
      </w:r>
      <w:proofErr w:type="gramEnd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，因此若客戶資訊系統或環境</w:t>
      </w:r>
      <w:proofErr w:type="gramStart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產生資安漏洞</w:t>
      </w:r>
      <w:proofErr w:type="gramEnd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，進而</w:t>
      </w:r>
      <w:proofErr w:type="gramStart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造成苯行及</w:t>
      </w:r>
      <w:proofErr w:type="gramEnd"/>
      <w:r w:rsidR="00CA6782">
        <w:rPr>
          <w:rFonts w:ascii="Times New Roman" w:eastAsia="標楷體" w:hAnsi="Times New Roman" w:cs="Times New Roman" w:hint="eastAsia"/>
          <w:color w:val="000000" w:themeColor="text1"/>
          <w:szCs w:val="24"/>
        </w:rPr>
        <w:t>客戶相關權益和財務損害，為不可控之潛在風險因素。</w:t>
      </w:r>
    </w:p>
    <w:p w14:paraId="35A84650" w14:textId="325BF90A" w:rsidR="005E5E63" w:rsidRDefault="00CA6782" w:rsidP="005E5E63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10/27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會議討論事項</w:t>
      </w:r>
      <w:r w:rsidR="005E5E63"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14:paraId="46BF5ED7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177FFCB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1F5FDD0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398153D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F33C04B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D6238B9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8F2011C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D4CAA35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A4B0E2F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1E81E54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13110E1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7175680F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B06BCB1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2433A74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50598A0E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4DA8860E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06E608F8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1B9A8C4E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4E8FDC27" w14:textId="77777777" w:rsid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FBD633C" w14:textId="77777777" w:rsidR="00CA6782" w:rsidRPr="00CA6782" w:rsidRDefault="00CA6782" w:rsidP="00CA6782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tbl>
      <w:tblPr>
        <w:tblStyle w:val="a8"/>
        <w:tblW w:w="0" w:type="auto"/>
        <w:tblInd w:w="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6"/>
        <w:gridCol w:w="709"/>
        <w:gridCol w:w="709"/>
        <w:gridCol w:w="3311"/>
        <w:gridCol w:w="3311"/>
      </w:tblGrid>
      <w:tr w:rsidR="00352F7C" w:rsidRPr="006443F4" w14:paraId="0FA51F13" w14:textId="77777777" w:rsidTr="00384B02">
        <w:trPr>
          <w:trHeight w:val="57"/>
        </w:trPr>
        <w:tc>
          <w:tcPr>
            <w:tcW w:w="1216" w:type="dxa"/>
            <w:vMerge w:val="restart"/>
            <w:vAlign w:val="center"/>
          </w:tcPr>
          <w:p w14:paraId="139E4AC0" w14:textId="77777777" w:rsidR="00352F7C" w:rsidRPr="006443F4" w:rsidRDefault="00352F7C" w:rsidP="006443F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支付業者</w:t>
            </w:r>
          </w:p>
        </w:tc>
        <w:tc>
          <w:tcPr>
            <w:tcW w:w="1418" w:type="dxa"/>
            <w:gridSpan w:val="2"/>
            <w:vAlign w:val="center"/>
          </w:tcPr>
          <w:p w14:paraId="3AA65981" w14:textId="77777777" w:rsidR="00352F7C" w:rsidRPr="006443F4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本行</w:t>
            </w:r>
            <w:r w:rsidR="00352F7C"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目前合作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情形</w:t>
            </w:r>
          </w:p>
        </w:tc>
        <w:tc>
          <w:tcPr>
            <w:tcW w:w="3311" w:type="dxa"/>
            <w:vMerge w:val="restart"/>
            <w:vAlign w:val="center"/>
          </w:tcPr>
          <w:p w14:paraId="1AC474B8" w14:textId="77777777" w:rsidR="00352F7C" w:rsidRPr="006443F4" w:rsidRDefault="007C7529" w:rsidP="006443F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合作策略規劃</w:t>
            </w:r>
          </w:p>
        </w:tc>
        <w:tc>
          <w:tcPr>
            <w:tcW w:w="3311" w:type="dxa"/>
            <w:vMerge w:val="restart"/>
            <w:vAlign w:val="center"/>
          </w:tcPr>
          <w:p w14:paraId="7DBE7BED" w14:textId="77777777" w:rsidR="00352F7C" w:rsidRPr="006443F4" w:rsidRDefault="00384B02" w:rsidP="006443F4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說明</w:t>
            </w:r>
          </w:p>
        </w:tc>
      </w:tr>
      <w:tr w:rsidR="006443F4" w:rsidRPr="006443F4" w14:paraId="682833F7" w14:textId="77777777" w:rsidTr="00384B02">
        <w:trPr>
          <w:trHeight w:val="57"/>
        </w:trPr>
        <w:tc>
          <w:tcPr>
            <w:tcW w:w="1216" w:type="dxa"/>
            <w:vMerge/>
            <w:vAlign w:val="center"/>
          </w:tcPr>
          <w:p w14:paraId="4CA5C5A3" w14:textId="77777777" w:rsidR="006443F4" w:rsidRPr="006443F4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E9BDEBA" w14:textId="77777777" w:rsidR="006443F4" w:rsidRPr="008B7F96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pacing w:val="-20"/>
                <w:szCs w:val="24"/>
              </w:rPr>
            </w:pPr>
            <w:r w:rsidRPr="008B7F96">
              <w:rPr>
                <w:rFonts w:ascii="Times New Roman" w:eastAsia="標楷體" w:hAnsi="Times New Roman" w:cs="Times New Roman" w:hint="eastAsia"/>
                <w:color w:val="000000" w:themeColor="text1"/>
                <w:spacing w:val="-20"/>
                <w:szCs w:val="24"/>
              </w:rPr>
              <w:t>信用卡支付</w:t>
            </w:r>
          </w:p>
        </w:tc>
        <w:tc>
          <w:tcPr>
            <w:tcW w:w="709" w:type="dxa"/>
          </w:tcPr>
          <w:p w14:paraId="0CBC3740" w14:textId="77777777" w:rsidR="006443F4" w:rsidRPr="008B7F96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pacing w:val="-20"/>
                <w:szCs w:val="24"/>
              </w:rPr>
            </w:pPr>
            <w:r w:rsidRPr="008B7F96">
              <w:rPr>
                <w:rFonts w:ascii="Times New Roman" w:eastAsia="標楷體" w:hAnsi="Times New Roman" w:cs="Times New Roman" w:hint="eastAsia"/>
                <w:color w:val="000000" w:themeColor="text1"/>
                <w:spacing w:val="-20"/>
                <w:szCs w:val="24"/>
              </w:rPr>
              <w:t>帳戶儲值</w:t>
            </w:r>
            <w:r w:rsidR="008B7F96">
              <w:rPr>
                <w:rFonts w:ascii="Times New Roman" w:eastAsia="標楷體" w:hAnsi="Times New Roman" w:cs="Times New Roman" w:hint="eastAsia"/>
                <w:color w:val="000000" w:themeColor="text1"/>
                <w:spacing w:val="-20"/>
                <w:szCs w:val="24"/>
              </w:rPr>
              <w:t>/</w:t>
            </w:r>
            <w:r w:rsidRPr="008B7F96">
              <w:rPr>
                <w:rFonts w:ascii="Times New Roman" w:eastAsia="標楷體" w:hAnsi="Times New Roman" w:cs="Times New Roman" w:hint="eastAsia"/>
                <w:color w:val="000000" w:themeColor="text1"/>
                <w:spacing w:val="-20"/>
                <w:szCs w:val="24"/>
              </w:rPr>
              <w:t>扣款</w:t>
            </w:r>
          </w:p>
        </w:tc>
        <w:tc>
          <w:tcPr>
            <w:tcW w:w="3311" w:type="dxa"/>
            <w:vMerge/>
          </w:tcPr>
          <w:p w14:paraId="2BA05623" w14:textId="77777777" w:rsidR="006443F4" w:rsidRPr="006443F4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311" w:type="dxa"/>
            <w:vMerge/>
            <w:vAlign w:val="center"/>
          </w:tcPr>
          <w:p w14:paraId="411545EC" w14:textId="77777777" w:rsidR="006443F4" w:rsidRPr="006443F4" w:rsidRDefault="006443F4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CF26E0" w:rsidRPr="006443F4" w14:paraId="33CE3B21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695E84A3" w14:textId="77777777" w:rsidR="00CF26E0" w:rsidRPr="006443F4" w:rsidRDefault="00CF26E0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街口支付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A134F5B" w14:textId="77777777" w:rsidR="00CF26E0" w:rsidRPr="006443F4" w:rsidRDefault="00CF26E0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709" w:type="dxa"/>
            <w:vAlign w:val="center"/>
          </w:tcPr>
          <w:p w14:paraId="01D856B7" w14:textId="77777777" w:rsidR="00CF26E0" w:rsidRPr="006443F4" w:rsidRDefault="00CF26E0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3311" w:type="dxa"/>
            <w:vMerge w:val="restart"/>
            <w:vAlign w:val="center"/>
          </w:tcPr>
          <w:p w14:paraId="6383593C" w14:textId="77777777" w:rsidR="00CF26E0" w:rsidRPr="006443F4" w:rsidRDefault="00CF26E0" w:rsidP="001D5803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本行</w:t>
            </w:r>
            <w:r w:rsidR="001D580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已完成合作，後續將維持現有模式，持續拓展業務</w:t>
            </w:r>
          </w:p>
        </w:tc>
        <w:tc>
          <w:tcPr>
            <w:tcW w:w="3311" w:type="dxa"/>
            <w:vAlign w:val="center"/>
          </w:tcPr>
          <w:p w14:paraId="410339D3" w14:textId="77777777" w:rsidR="00CF26E0" w:rsidRPr="006443F4" w:rsidRDefault="00CF26E0" w:rsidP="006443F4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－</w:t>
            </w:r>
          </w:p>
        </w:tc>
      </w:tr>
      <w:tr w:rsidR="00CF26E0" w:rsidRPr="006443F4" w14:paraId="4B2275A9" w14:textId="77777777" w:rsidTr="00384B02">
        <w:trPr>
          <w:trHeight w:val="624"/>
        </w:trPr>
        <w:tc>
          <w:tcPr>
            <w:tcW w:w="1216" w:type="dxa"/>
            <w:tcBorders>
              <w:right w:val="single" w:sz="4" w:space="0" w:color="auto"/>
            </w:tcBorders>
            <w:vAlign w:val="center"/>
          </w:tcPr>
          <w:p w14:paraId="09BF34E9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6443F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</w:t>
            </w:r>
            <w:proofErr w:type="gramEnd"/>
            <w:r w:rsidRPr="006443F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卡通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MONEY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75D92E8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D993F7" w14:textId="77777777" w:rsidR="00CF26E0" w:rsidRPr="006443F4" w:rsidRDefault="00CF26E0" w:rsidP="00384B02">
            <w:pPr>
              <w:adjustRightInd w:val="0"/>
              <w:snapToGrid w:val="0"/>
              <w:spacing w:line="0" w:lineRule="atLeast"/>
              <w:jc w:val="center"/>
              <w:rPr>
                <w:b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3311" w:type="dxa"/>
            <w:vMerge/>
            <w:vAlign w:val="center"/>
          </w:tcPr>
          <w:p w14:paraId="550E41B9" w14:textId="77777777" w:rsidR="00CF26E0" w:rsidRDefault="00CF26E0" w:rsidP="00384B02">
            <w:pPr>
              <w:jc w:val="center"/>
            </w:pPr>
          </w:p>
        </w:tc>
        <w:tc>
          <w:tcPr>
            <w:tcW w:w="3311" w:type="dxa"/>
            <w:vAlign w:val="center"/>
          </w:tcPr>
          <w:p w14:paraId="1EFC2BA1" w14:textId="77777777" w:rsidR="00CF26E0" w:rsidRDefault="00CF26E0" w:rsidP="00384B02">
            <w:pPr>
              <w:jc w:val="center"/>
            </w:pPr>
            <w:r w:rsidRPr="00B90A6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－</w:t>
            </w:r>
          </w:p>
        </w:tc>
      </w:tr>
      <w:tr w:rsidR="00CF26E0" w:rsidRPr="006443F4" w14:paraId="5CD6F7ED" w14:textId="77777777" w:rsidTr="00147C09">
        <w:trPr>
          <w:trHeight w:val="624"/>
        </w:trPr>
        <w:tc>
          <w:tcPr>
            <w:tcW w:w="1216" w:type="dxa"/>
            <w:vAlign w:val="center"/>
          </w:tcPr>
          <w:p w14:paraId="0408BAC0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LINE PAY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F10FDF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  <w:vAlign w:val="center"/>
          </w:tcPr>
          <w:p w14:paraId="03FAB9BA" w14:textId="77777777" w:rsidR="00CF26E0" w:rsidRPr="006443F4" w:rsidRDefault="00C47061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3311" w:type="dxa"/>
            <w:vMerge/>
            <w:vAlign w:val="center"/>
          </w:tcPr>
          <w:p w14:paraId="44B3D4A2" w14:textId="77777777" w:rsidR="00CF26E0" w:rsidRDefault="00CF26E0" w:rsidP="00384B02">
            <w:pPr>
              <w:jc w:val="center"/>
            </w:pPr>
          </w:p>
        </w:tc>
        <w:tc>
          <w:tcPr>
            <w:tcW w:w="3311" w:type="dxa"/>
            <w:vAlign w:val="center"/>
          </w:tcPr>
          <w:p w14:paraId="41F1304E" w14:textId="77777777" w:rsidR="00CF26E0" w:rsidRDefault="00CF26E0" w:rsidP="00384B02">
            <w:pPr>
              <w:jc w:val="center"/>
            </w:pPr>
            <w:r w:rsidRPr="00B90A6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－</w:t>
            </w:r>
          </w:p>
        </w:tc>
      </w:tr>
      <w:tr w:rsidR="00CF26E0" w:rsidRPr="006443F4" w14:paraId="51088201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3DF225E6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台灣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PAY</w:t>
            </w:r>
          </w:p>
        </w:tc>
        <w:tc>
          <w:tcPr>
            <w:tcW w:w="709" w:type="dxa"/>
            <w:vAlign w:val="center"/>
          </w:tcPr>
          <w:p w14:paraId="0DA4CA7D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F8E066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3311" w:type="dxa"/>
            <w:vMerge/>
            <w:vAlign w:val="center"/>
          </w:tcPr>
          <w:p w14:paraId="37C56B5E" w14:textId="77777777" w:rsidR="00CF26E0" w:rsidRDefault="00CF26E0" w:rsidP="00384B02">
            <w:pPr>
              <w:jc w:val="center"/>
            </w:pPr>
          </w:p>
        </w:tc>
        <w:tc>
          <w:tcPr>
            <w:tcW w:w="3311" w:type="dxa"/>
            <w:vAlign w:val="center"/>
          </w:tcPr>
          <w:p w14:paraId="2BB4C579" w14:textId="77777777" w:rsidR="00CF26E0" w:rsidRDefault="00CF26E0" w:rsidP="00384B02">
            <w:pPr>
              <w:jc w:val="center"/>
            </w:pPr>
            <w:r w:rsidRPr="00B90A6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－</w:t>
            </w:r>
          </w:p>
        </w:tc>
      </w:tr>
      <w:tr w:rsidR="008B7F96" w:rsidRPr="006443F4" w14:paraId="274BB0CC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4E705267" w14:textId="77777777" w:rsidR="008B7F96" w:rsidRDefault="008B7F96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全支付</w:t>
            </w:r>
          </w:p>
          <w:p w14:paraId="461624CA" w14:textId="77777777" w:rsidR="00E102C8" w:rsidRPr="006443F4" w:rsidRDefault="00E102C8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="00DB739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含</w:t>
            </w:r>
            <w:r w:rsidRPr="00DB7397">
              <w:rPr>
                <w:rFonts w:ascii="Times New Roman" w:eastAsia="標楷體" w:hAnsi="Times New Roman" w:cs="Times New Roman" w:hint="eastAsia"/>
                <w:color w:val="000000" w:themeColor="text1"/>
                <w:spacing w:val="-20"/>
                <w:szCs w:val="24"/>
              </w:rPr>
              <w:t>PX PAY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709" w:type="dxa"/>
            <w:vAlign w:val="center"/>
          </w:tcPr>
          <w:p w14:paraId="5A8E3E63" w14:textId="77777777" w:rsidR="008B7F96" w:rsidRPr="006443F4" w:rsidRDefault="008B7F96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709" w:type="dxa"/>
            <w:vAlign w:val="center"/>
          </w:tcPr>
          <w:p w14:paraId="1DFC301D" w14:textId="77777777" w:rsidR="008B7F96" w:rsidRPr="006443F4" w:rsidRDefault="008B7F96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3311" w:type="dxa"/>
            <w:vAlign w:val="center"/>
          </w:tcPr>
          <w:p w14:paraId="6ECE7B56" w14:textId="77777777" w:rsidR="008B7F96" w:rsidRDefault="00384B02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刻</w:t>
            </w:r>
            <w:r w:rsidR="00DB739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辦理「</w:t>
            </w:r>
            <w:r w:rsidR="008B7F96"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帳戶連結</w:t>
            </w:r>
            <w:r w:rsidR="008B7F9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="008B7F96"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扣款</w:t>
            </w:r>
            <w:r w:rsidR="00DB739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」串接作業</w:t>
            </w:r>
          </w:p>
          <w:p w14:paraId="025E71EE" w14:textId="77777777" w:rsidR="00E102C8" w:rsidRPr="006443F4" w:rsidRDefault="00E102C8" w:rsidP="008B7F96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="00D5691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信用卡</w:t>
            </w:r>
            <w:r w:rsidR="007C7529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</w:t>
            </w:r>
            <w:r w:rsidR="00D5691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」</w:t>
            </w:r>
            <w:r w:rsidR="007C7529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暫緩</w:t>
            </w:r>
            <w:r w:rsidR="00D5691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3311" w:type="dxa"/>
          </w:tcPr>
          <w:p w14:paraId="7C456949" w14:textId="77777777" w:rsidR="008B7F96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其使用人數快速成長，且曝光度高，故本行刻</w:t>
            </w:r>
            <w:r w:rsidR="00DB739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辦理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與其合作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帳戶連結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扣款</w:t>
            </w:r>
            <w:r w:rsidR="00DB739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之相關作業。</w:t>
            </w:r>
          </w:p>
          <w:p w14:paraId="0DE50DB6" w14:textId="77777777" w:rsidR="00384B02" w:rsidRPr="00384B02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惟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信用卡合作成本較高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詳後說明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暫</w:t>
            </w:r>
            <w:r w:rsidR="007C7529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規劃合作。</w:t>
            </w:r>
          </w:p>
        </w:tc>
      </w:tr>
      <w:tr w:rsidR="00CF26E0" w:rsidRPr="006443F4" w14:paraId="6258F561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1DCA45FF" w14:textId="77777777" w:rsidR="00CF26E0" w:rsidRPr="006443F4" w:rsidRDefault="00CF26E0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bookmarkStart w:id="0" w:name="_Hlk163488848"/>
            <w:r w:rsidRPr="008B7F9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Apple Pay</w:t>
            </w:r>
            <w:bookmarkEnd w:id="0"/>
          </w:p>
        </w:tc>
        <w:tc>
          <w:tcPr>
            <w:tcW w:w="709" w:type="dxa"/>
            <w:vAlign w:val="center"/>
          </w:tcPr>
          <w:p w14:paraId="73EC10D7" w14:textId="77777777" w:rsidR="00CF26E0" w:rsidRDefault="00CF26E0" w:rsidP="00E102C8">
            <w:pPr>
              <w:jc w:val="center"/>
            </w:pPr>
            <w:r w:rsidRPr="00AB46B2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709" w:type="dxa"/>
            <w:vAlign w:val="center"/>
          </w:tcPr>
          <w:p w14:paraId="424EF3B4" w14:textId="77777777" w:rsidR="00CF26E0" w:rsidRPr="006443F4" w:rsidRDefault="00C47061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3311" w:type="dxa"/>
            <w:vMerge w:val="restart"/>
            <w:vAlign w:val="center"/>
          </w:tcPr>
          <w:p w14:paraId="69E813EF" w14:textId="77777777" w:rsidR="00CF26E0" w:rsidRPr="006443F4" w:rsidRDefault="00D56914" w:rsidP="00CF26E0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「信用卡支付」暫緩合作</w:t>
            </w:r>
          </w:p>
        </w:tc>
        <w:tc>
          <w:tcPr>
            <w:tcW w:w="3311" w:type="dxa"/>
            <w:vMerge w:val="restart"/>
          </w:tcPr>
          <w:p w14:paraId="0751A5F9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因本行信用卡經營成本較高，且與其合作需大幅修改相關資訊系統。評估</w:t>
            </w:r>
            <w:r w:rsidRPr="00384B0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合作效益不敷支應建置成本與相關費用。</w:t>
            </w:r>
          </w:p>
        </w:tc>
      </w:tr>
      <w:tr w:rsidR="00CF26E0" w:rsidRPr="006443F4" w14:paraId="242CA484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09CA85B9" w14:textId="77777777" w:rsidR="00CF26E0" w:rsidRPr="006443F4" w:rsidRDefault="00CF26E0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B7F9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Google Pay</w:t>
            </w:r>
          </w:p>
        </w:tc>
        <w:tc>
          <w:tcPr>
            <w:tcW w:w="709" w:type="dxa"/>
            <w:vAlign w:val="center"/>
          </w:tcPr>
          <w:p w14:paraId="3978CADF" w14:textId="77777777" w:rsidR="00CF26E0" w:rsidRDefault="00CF26E0" w:rsidP="00E102C8">
            <w:pPr>
              <w:jc w:val="center"/>
            </w:pPr>
            <w:r w:rsidRPr="00AB46B2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709" w:type="dxa"/>
            <w:vAlign w:val="center"/>
          </w:tcPr>
          <w:p w14:paraId="6A0B9D7C" w14:textId="77777777" w:rsidR="00CF26E0" w:rsidRPr="006443F4" w:rsidRDefault="00C47061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3311" w:type="dxa"/>
            <w:vMerge/>
            <w:vAlign w:val="center"/>
          </w:tcPr>
          <w:p w14:paraId="5AA57B08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311" w:type="dxa"/>
            <w:vMerge/>
          </w:tcPr>
          <w:p w14:paraId="196DCBB5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CF26E0" w:rsidRPr="006443F4" w14:paraId="163E7BE8" w14:textId="77777777" w:rsidTr="007C7529">
        <w:trPr>
          <w:trHeight w:val="624"/>
        </w:trPr>
        <w:tc>
          <w:tcPr>
            <w:tcW w:w="1216" w:type="dxa"/>
            <w:vAlign w:val="center"/>
          </w:tcPr>
          <w:p w14:paraId="5FB0138C" w14:textId="77777777" w:rsidR="00CF26E0" w:rsidRPr="006443F4" w:rsidRDefault="00CF26E0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8B7F9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悠遊付</w:t>
            </w:r>
            <w:proofErr w:type="gramEnd"/>
          </w:p>
        </w:tc>
        <w:tc>
          <w:tcPr>
            <w:tcW w:w="709" w:type="dxa"/>
            <w:vAlign w:val="center"/>
          </w:tcPr>
          <w:p w14:paraId="00EAD986" w14:textId="77777777" w:rsidR="00CF26E0" w:rsidRPr="006443F4" w:rsidRDefault="00C47061" w:rsidP="00E102C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709" w:type="dxa"/>
            <w:vAlign w:val="center"/>
          </w:tcPr>
          <w:p w14:paraId="4CA7A03A" w14:textId="77777777" w:rsidR="00CF26E0" w:rsidRDefault="00CF26E0" w:rsidP="00E102C8">
            <w:pPr>
              <w:jc w:val="center"/>
            </w:pPr>
            <w:r w:rsidRPr="001740A5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3311" w:type="dxa"/>
            <w:vMerge w:val="restart"/>
            <w:vAlign w:val="center"/>
          </w:tcPr>
          <w:p w14:paraId="55BAB3E7" w14:textId="77777777" w:rsidR="00CF26E0" w:rsidRDefault="00CF26E0" w:rsidP="00DB7397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後續將依排程，陸續依次與業者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「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帳戶連結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6443F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扣款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」</w:t>
            </w:r>
          </w:p>
          <w:p w14:paraId="76947A42" w14:textId="77777777" w:rsidR="00CF26E0" w:rsidRPr="00384B02" w:rsidRDefault="00CF26E0" w:rsidP="00DB7397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="00D5691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「信用卡支付」暫緩合作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3311" w:type="dxa"/>
            <w:vMerge w:val="restart"/>
            <w:vAlign w:val="center"/>
          </w:tcPr>
          <w:p w14:paraId="392331E9" w14:textId="77777777" w:rsidR="00CF26E0" w:rsidRPr="0015474E" w:rsidRDefault="00CF26E0" w:rsidP="007C7529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評估與其合作可</w:t>
            </w:r>
            <w:r w:rsidRPr="001547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升</w:t>
            </w:r>
            <w:r w:rsidRPr="001547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手續費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收入</w:t>
            </w:r>
            <w:r w:rsidRPr="001547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，且可提升銀行帳戶之活化與使用率。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惟逐間串接需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花費較多人力開發資訊系統，故規劃視使用人數逐步完成串接。</w:t>
            </w:r>
          </w:p>
        </w:tc>
      </w:tr>
      <w:tr w:rsidR="00CF26E0" w:rsidRPr="006443F4" w14:paraId="1F842114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762438F6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8B7F9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全盈支付</w:t>
            </w:r>
            <w:proofErr w:type="gramEnd"/>
          </w:p>
        </w:tc>
        <w:tc>
          <w:tcPr>
            <w:tcW w:w="709" w:type="dxa"/>
            <w:vAlign w:val="center"/>
          </w:tcPr>
          <w:p w14:paraId="66AA32B8" w14:textId="77777777" w:rsidR="00CF26E0" w:rsidRPr="006443F4" w:rsidRDefault="00C47061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709" w:type="dxa"/>
            <w:vAlign w:val="center"/>
          </w:tcPr>
          <w:p w14:paraId="2A68B8B4" w14:textId="77777777" w:rsidR="00CF26E0" w:rsidRDefault="00CF26E0" w:rsidP="00384B02">
            <w:pPr>
              <w:jc w:val="center"/>
            </w:pPr>
            <w:r w:rsidRPr="001740A5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3311" w:type="dxa"/>
            <w:vMerge/>
            <w:vAlign w:val="center"/>
          </w:tcPr>
          <w:p w14:paraId="0E828E89" w14:textId="77777777" w:rsidR="00CF26E0" w:rsidRPr="00384B02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311" w:type="dxa"/>
            <w:vMerge/>
          </w:tcPr>
          <w:p w14:paraId="41A2D9A3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CF26E0" w:rsidRPr="006443F4" w14:paraId="08396FF7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2AF5AE18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 w:rsidRPr="008B7F9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icash</w:t>
            </w:r>
            <w:proofErr w:type="spellEnd"/>
            <w:r w:rsidRPr="008B7F9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Pay</w:t>
            </w:r>
          </w:p>
        </w:tc>
        <w:tc>
          <w:tcPr>
            <w:tcW w:w="709" w:type="dxa"/>
            <w:vAlign w:val="center"/>
          </w:tcPr>
          <w:p w14:paraId="2E24A08B" w14:textId="77777777" w:rsidR="00CF26E0" w:rsidRPr="006443F4" w:rsidRDefault="00C47061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無此服務</w:t>
            </w:r>
          </w:p>
        </w:tc>
        <w:tc>
          <w:tcPr>
            <w:tcW w:w="709" w:type="dxa"/>
            <w:vAlign w:val="center"/>
          </w:tcPr>
          <w:p w14:paraId="4E2FB575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</w:pPr>
            <w:r w:rsidRPr="001740A5">
              <w:rPr>
                <w:rFonts w:ascii="Segoe UI Symbol" w:eastAsia="標楷體" w:hAnsi="Segoe UI Symbol" w:cs="Segoe UI Symbol"/>
                <w:color w:val="000000" w:themeColor="text1"/>
                <w:szCs w:val="24"/>
              </w:rPr>
              <w:t>✘</w:t>
            </w:r>
          </w:p>
        </w:tc>
        <w:tc>
          <w:tcPr>
            <w:tcW w:w="3311" w:type="dxa"/>
            <w:vMerge/>
            <w:vAlign w:val="center"/>
          </w:tcPr>
          <w:p w14:paraId="175135DA" w14:textId="77777777" w:rsidR="00CF26E0" w:rsidRPr="00384B02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311" w:type="dxa"/>
            <w:vMerge/>
          </w:tcPr>
          <w:p w14:paraId="218BB8B3" w14:textId="77777777" w:rsidR="00CF26E0" w:rsidRPr="006443F4" w:rsidRDefault="00CF26E0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384B02" w:rsidRPr="006443F4" w14:paraId="011DF6D6" w14:textId="77777777" w:rsidTr="00384B02">
        <w:trPr>
          <w:trHeight w:val="624"/>
        </w:trPr>
        <w:tc>
          <w:tcPr>
            <w:tcW w:w="1216" w:type="dxa"/>
            <w:vAlign w:val="center"/>
          </w:tcPr>
          <w:p w14:paraId="1E890E68" w14:textId="77777777" w:rsidR="00384B02" w:rsidRPr="008B7F96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384B0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醫指付</w:t>
            </w:r>
            <w:proofErr w:type="gramEnd"/>
          </w:p>
        </w:tc>
        <w:tc>
          <w:tcPr>
            <w:tcW w:w="709" w:type="dxa"/>
            <w:vAlign w:val="center"/>
          </w:tcPr>
          <w:p w14:paraId="0AFA5DB0" w14:textId="77777777" w:rsidR="00384B02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443F4">
              <w:rPr>
                <w:rFonts w:ascii="Segoe UI Symbol" w:eastAsia="標楷體" w:hAnsi="Segoe UI Symbol" w:cs="Segoe UI Symbol"/>
                <w:b/>
                <w:color w:val="000000" w:themeColor="text1"/>
                <w:szCs w:val="24"/>
              </w:rPr>
              <w:t>✓</w:t>
            </w:r>
          </w:p>
        </w:tc>
        <w:tc>
          <w:tcPr>
            <w:tcW w:w="709" w:type="dxa"/>
            <w:vAlign w:val="center"/>
          </w:tcPr>
          <w:p w14:paraId="41E8DB5D" w14:textId="77777777" w:rsidR="00384B02" w:rsidRPr="006443F4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無此</w:t>
            </w:r>
            <w:r w:rsidR="00345AF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服務</w:t>
            </w:r>
          </w:p>
        </w:tc>
        <w:tc>
          <w:tcPr>
            <w:tcW w:w="3311" w:type="dxa"/>
            <w:vAlign w:val="center"/>
          </w:tcPr>
          <w:p w14:paraId="1D3461FE" w14:textId="77777777" w:rsidR="00384B02" w:rsidRPr="006443F4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已合作，後續將持續拓展業務</w:t>
            </w:r>
          </w:p>
        </w:tc>
        <w:tc>
          <w:tcPr>
            <w:tcW w:w="3311" w:type="dxa"/>
            <w:vAlign w:val="center"/>
          </w:tcPr>
          <w:p w14:paraId="7DA013A1" w14:textId="77777777" w:rsidR="00384B02" w:rsidRPr="006443F4" w:rsidRDefault="00384B02" w:rsidP="00384B02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90A6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－</w:t>
            </w:r>
          </w:p>
        </w:tc>
      </w:tr>
    </w:tbl>
    <w:p w14:paraId="75932038" w14:textId="77777777" w:rsidR="00EC511D" w:rsidRPr="00C72E98" w:rsidRDefault="00EC511D" w:rsidP="00EC511D">
      <w:pPr>
        <w:pStyle w:val="a3"/>
        <w:adjustRightInd w:val="0"/>
        <w:snapToGrid w:val="0"/>
        <w:spacing w:line="0" w:lineRule="atLeast"/>
        <w:ind w:leftChars="0" w:left="482"/>
        <w:jc w:val="both"/>
        <w:rPr>
          <w:rFonts w:ascii="Times New Roman" w:eastAsia="標楷體" w:hAnsi="Times New Roman" w:cs="Times New Roman"/>
          <w:color w:val="000000" w:themeColor="text1"/>
          <w:sz w:val="18"/>
          <w:szCs w:val="24"/>
        </w:rPr>
      </w:pP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備註：</w:t>
      </w:r>
      <w:proofErr w:type="gramStart"/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【</w:t>
      </w:r>
      <w:proofErr w:type="gramEnd"/>
      <w:r w:rsidRPr="00C72E98">
        <w:rPr>
          <w:rFonts w:ascii="Segoe UI Symbol" w:eastAsia="標楷體" w:hAnsi="Segoe UI Symbol" w:cs="Segoe UI Symbol"/>
          <w:b/>
          <w:color w:val="000000" w:themeColor="text1"/>
          <w:sz w:val="18"/>
          <w:szCs w:val="24"/>
        </w:rPr>
        <w:t>✓</w:t>
      </w: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】已</w:t>
      </w:r>
      <w:r w:rsidR="00384B02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合作</w:t>
      </w: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。</w:t>
      </w:r>
    </w:p>
    <w:p w14:paraId="2847F231" w14:textId="77777777" w:rsidR="00C47061" w:rsidRDefault="00EC511D" w:rsidP="00384B02">
      <w:pPr>
        <w:pStyle w:val="a3"/>
        <w:adjustRightInd w:val="0"/>
        <w:snapToGrid w:val="0"/>
        <w:spacing w:line="0" w:lineRule="atLeast"/>
        <w:ind w:leftChars="0" w:left="482"/>
        <w:jc w:val="both"/>
        <w:rPr>
          <w:rFonts w:ascii="Times New Roman" w:eastAsia="標楷體" w:hAnsi="Times New Roman" w:cs="Times New Roman"/>
          <w:color w:val="000000" w:themeColor="text1"/>
          <w:sz w:val="18"/>
          <w:szCs w:val="24"/>
        </w:rPr>
      </w:pP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 xml:space="preserve">　　</w:t>
      </w: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 xml:space="preserve"> </w:t>
      </w:r>
      <w:proofErr w:type="gramStart"/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【</w:t>
      </w:r>
      <w:proofErr w:type="gramEnd"/>
      <w:r w:rsidRPr="00C72E98">
        <w:rPr>
          <w:rFonts w:ascii="Segoe UI Symbol" w:eastAsia="標楷體" w:hAnsi="Segoe UI Symbol" w:cs="Segoe UI Symbol"/>
          <w:color w:val="000000" w:themeColor="text1"/>
          <w:sz w:val="18"/>
          <w:szCs w:val="24"/>
        </w:rPr>
        <w:t>✘</w:t>
      </w: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】</w:t>
      </w:r>
      <w:r w:rsidR="00384B02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尚未合作</w:t>
      </w:r>
      <w:r w:rsidRPr="00C72E98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。</w:t>
      </w:r>
    </w:p>
    <w:p w14:paraId="6B230BC1" w14:textId="77777777" w:rsidR="006443F4" w:rsidRPr="00C47061" w:rsidRDefault="00C47061" w:rsidP="00384B02">
      <w:pPr>
        <w:pStyle w:val="a3"/>
        <w:adjustRightInd w:val="0"/>
        <w:snapToGrid w:val="0"/>
        <w:spacing w:line="0" w:lineRule="atLeast"/>
        <w:ind w:leftChars="0" w:left="482"/>
        <w:jc w:val="both"/>
        <w:rPr>
          <w:rFonts w:ascii="Times New Roman" w:eastAsia="標楷體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 xml:space="preserve">　　</w:t>
      </w:r>
      <w:r w:rsidRPr="00C47061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C47061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【無此服務】：</w:t>
      </w: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行動支付業者無提供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該項</w:t>
      </w: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支付管道。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(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如：</w:t>
      </w:r>
      <w:proofErr w:type="gramStart"/>
      <w:r w:rsidR="00F50B6C" w:rsidRP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一</w:t>
      </w:r>
      <w:proofErr w:type="gramEnd"/>
      <w:r w:rsidR="00F50B6C" w:rsidRP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卡通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無提供信用卡付款、</w:t>
      </w:r>
      <w:r w:rsidR="00F50B6C" w:rsidRPr="00F50B6C">
        <w:rPr>
          <w:rFonts w:ascii="Times New Roman" w:eastAsia="標楷體" w:hAnsi="Times New Roman" w:cs="Times New Roman"/>
          <w:color w:val="000000" w:themeColor="text1"/>
          <w:sz w:val="18"/>
          <w:szCs w:val="18"/>
        </w:rPr>
        <w:t>Apple Pay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無提供帳戶連結</w:t>
      </w:r>
      <w:r w:rsidR="00F50B6C">
        <w:rPr>
          <w:rFonts w:ascii="Times New Roman" w:eastAsia="標楷體" w:hAnsi="Times New Roman" w:cs="Times New Roman" w:hint="eastAsia"/>
          <w:color w:val="000000" w:themeColor="text1"/>
          <w:sz w:val="18"/>
          <w:szCs w:val="18"/>
        </w:rPr>
        <w:t>)</w:t>
      </w:r>
    </w:p>
    <w:p w14:paraId="3A86CFAB" w14:textId="77777777" w:rsidR="005A1A48" w:rsidRDefault="005A1A48" w:rsidP="005A1A48">
      <w:pPr>
        <w:pStyle w:val="a3"/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0D9A3F8" w14:textId="77777777" w:rsidR="005A1A48" w:rsidRDefault="005A1A48" w:rsidP="005A1A48">
      <w:pPr>
        <w:pStyle w:val="a3"/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18743A90" w14:textId="77777777" w:rsidR="005A1A48" w:rsidRDefault="005A1A48" w:rsidP="005A1A48">
      <w:pPr>
        <w:pStyle w:val="a3"/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3DF75525" w14:textId="77777777" w:rsidR="005E5E63" w:rsidRPr="00C72E98" w:rsidRDefault="000D0504" w:rsidP="005E5E63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針對</w:t>
      </w:r>
      <w:r w:rsidR="005A1A48">
        <w:rPr>
          <w:rFonts w:ascii="Times New Roman" w:eastAsia="標楷體" w:hAnsi="Times New Roman" w:cs="Times New Roman" w:hint="eastAsia"/>
          <w:color w:val="000000" w:themeColor="text1"/>
          <w:szCs w:val="24"/>
        </w:rPr>
        <w:t>前述</w:t>
      </w:r>
      <w:r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本行尚未合作之行動支付業者，評估</w:t>
      </w:r>
      <w:r w:rsidR="005A1A48">
        <w:rPr>
          <w:rFonts w:ascii="Times New Roman" w:eastAsia="標楷體" w:hAnsi="Times New Roman" w:cs="Times New Roman" w:hint="eastAsia"/>
          <w:color w:val="000000" w:themeColor="text1"/>
          <w:szCs w:val="24"/>
        </w:rPr>
        <w:t>本行</w:t>
      </w:r>
      <w:r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與</w:t>
      </w:r>
      <w:r w:rsidR="00324161"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其</w:t>
      </w:r>
      <w:r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合作</w:t>
      </w:r>
      <w:r w:rsidR="005A1A48">
        <w:rPr>
          <w:rFonts w:ascii="Times New Roman" w:eastAsia="標楷體" w:hAnsi="Times New Roman" w:cs="Times New Roman" w:hint="eastAsia"/>
          <w:color w:val="000000" w:themeColor="text1"/>
          <w:szCs w:val="24"/>
        </w:rPr>
        <w:t>之</w:t>
      </w:r>
      <w:r w:rsidRPr="00C72E98">
        <w:rPr>
          <w:rFonts w:ascii="Times New Roman" w:eastAsia="標楷體" w:hAnsi="Times New Roman" w:cs="Times New Roman" w:hint="eastAsia"/>
          <w:color w:val="000000" w:themeColor="text1"/>
          <w:szCs w:val="24"/>
        </w:rPr>
        <w:t>可行性說明如下：</w:t>
      </w:r>
    </w:p>
    <w:p w14:paraId="548A3412" w14:textId="77777777" w:rsidR="005A1A48" w:rsidRPr="005A1A48" w:rsidRDefault="005A1A48" w:rsidP="005A1A48">
      <w:pPr>
        <w:pStyle w:val="a3"/>
        <w:numPr>
          <w:ilvl w:val="0"/>
          <w:numId w:val="3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合作【</w:t>
      </w:r>
      <w:r w:rsidR="005277B3" w:rsidRPr="00C72E98">
        <w:rPr>
          <w:rFonts w:ascii="Times New Roman" w:eastAsia="標楷體" w:hAnsi="Times New Roman" w:cs="Times New Roman"/>
          <w:b/>
          <w:color w:val="000000" w:themeColor="text1"/>
          <w:szCs w:val="24"/>
          <w:u w:val="single"/>
        </w:rPr>
        <w:t>信用卡</w:t>
      </w:r>
      <w:r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支付】</w:t>
      </w:r>
      <w:r w:rsidR="005E5E63" w:rsidRPr="00C72E98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：</w:t>
      </w:r>
    </w:p>
    <w:tbl>
      <w:tblPr>
        <w:tblStyle w:val="a8"/>
        <w:tblW w:w="0" w:type="auto"/>
        <w:tblInd w:w="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6"/>
        <w:gridCol w:w="2911"/>
        <w:gridCol w:w="2879"/>
      </w:tblGrid>
      <w:tr w:rsidR="005A1A48" w14:paraId="29D238E4" w14:textId="77777777" w:rsidTr="005A1A48">
        <w:tc>
          <w:tcPr>
            <w:tcW w:w="3245" w:type="dxa"/>
          </w:tcPr>
          <w:p w14:paraId="54FC8941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成本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評估</w:t>
            </w:r>
          </w:p>
        </w:tc>
        <w:tc>
          <w:tcPr>
            <w:tcW w:w="3245" w:type="dxa"/>
          </w:tcPr>
          <w:p w14:paraId="772A5FF9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效益評估</w:t>
            </w:r>
          </w:p>
        </w:tc>
        <w:tc>
          <w:tcPr>
            <w:tcW w:w="3246" w:type="dxa"/>
            <w:vAlign w:val="center"/>
          </w:tcPr>
          <w:p w14:paraId="2FB0B9BC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綜合評估</w:t>
            </w:r>
          </w:p>
        </w:tc>
      </w:tr>
      <w:tr w:rsidR="005A1A48" w14:paraId="1279C897" w14:textId="77777777" w:rsidTr="005A1A48">
        <w:tc>
          <w:tcPr>
            <w:tcW w:w="3245" w:type="dxa"/>
          </w:tcPr>
          <w:p w14:paraId="00DD4345" w14:textId="77777777" w:rsidR="005A1A48" w:rsidRDefault="005A1A48" w:rsidP="005A1A48">
            <w:pPr>
              <w:pStyle w:val="a3"/>
              <w:numPr>
                <w:ilvl w:val="0"/>
                <w:numId w:val="20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行銷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串接費用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：</w:t>
            </w:r>
          </w:p>
          <w:p w14:paraId="436A69A2" w14:textId="77777777" w:rsidR="005A1A48" w:rsidRDefault="005A1A48" w:rsidP="005A1A4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國際組織測試費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64635533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lastRenderedPageBreak/>
              <w:t>約</w:t>
            </w: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t>130~200</w:t>
            </w: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t>萬元</w:t>
            </w:r>
            <w:r w:rsidR="003338C2"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t>(</w:t>
            </w:r>
            <w:r w:rsidR="003338C2"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t>一次性</w:t>
            </w:r>
            <w:r w:rsidR="003338C2" w:rsidRPr="00497563">
              <w:rPr>
                <w:rFonts w:ascii="Times New Roman" w:eastAsia="標楷體" w:hAnsi="Times New Roman" w:cs="Times New Roman" w:hint="eastAsia"/>
                <w:color w:val="000000" w:themeColor="text1"/>
                <w:spacing w:val="-10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  <w:p w14:paraId="51C879AA" w14:textId="77777777" w:rsidR="005A1A48" w:rsidRDefault="005A1A48" w:rsidP="005A1A4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平台處理費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12F05D6E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依交易金額收取。</w:t>
            </w:r>
          </w:p>
          <w:p w14:paraId="2A3D034E" w14:textId="77777777" w:rsidR="005A1A48" w:rsidRDefault="005A1A48" w:rsidP="005A1A48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合作行銷費用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01B47F9C" w14:textId="77777777" w:rsidR="005A1A48" w:rsidRDefault="005A1A48" w:rsidP="005A1A48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每年均需編列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預算。</w:t>
            </w:r>
          </w:p>
          <w:p w14:paraId="049046F6" w14:textId="77777777" w:rsidR="005A1A48" w:rsidRDefault="005A1A48" w:rsidP="005A1A48">
            <w:pPr>
              <w:pStyle w:val="a3"/>
              <w:numPr>
                <w:ilvl w:val="0"/>
                <w:numId w:val="20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系統開發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人力作業成本：</w:t>
            </w:r>
          </w:p>
          <w:p w14:paraId="2DFF0331" w14:textId="77777777" w:rsidR="003338C2" w:rsidRDefault="005A1A48" w:rsidP="003338C2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【帳務程式修改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2B2A45A3" w14:textId="77777777" w:rsidR="005A1A48" w:rsidRDefault="005A1A48" w:rsidP="003338C2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委外廠商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(DX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C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修改與本行檔案改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為即時傳送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約需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130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萬元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間。</w:t>
            </w:r>
          </w:p>
          <w:p w14:paraId="0FBE3674" w14:textId="77777777" w:rsidR="003338C2" w:rsidRDefault="003338C2" w:rsidP="00B11B04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客服中心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0F3BACC4" w14:textId="77777777" w:rsidR="003338C2" w:rsidRPr="003338C2" w:rsidRDefault="003338C2" w:rsidP="003338C2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需配合成立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小時客服中心。</w:t>
            </w:r>
          </w:p>
          <w:p w14:paraId="7F5F81E6" w14:textId="77777777" w:rsidR="005A1A48" w:rsidRDefault="003338C2" w:rsidP="005A1A48">
            <w:pPr>
              <w:pStyle w:val="a3"/>
              <w:numPr>
                <w:ilvl w:val="0"/>
                <w:numId w:val="20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交易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成本</w:t>
            </w:r>
          </w:p>
          <w:p w14:paraId="0E0760F0" w14:textId="77777777" w:rsidR="003338C2" w:rsidRDefault="003338C2" w:rsidP="003338C2">
            <w:pPr>
              <w:pStyle w:val="a3"/>
              <w:adjustRightInd w:val="0"/>
              <w:snapToGrid w:val="0"/>
              <w:spacing w:line="0" w:lineRule="atLeast"/>
              <w:ind w:leftChars="0" w:left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支付業者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如全支付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要求銀行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額外提供回饋金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交易金額</w:t>
            </w:r>
            <w:r w:rsidRPr="00C72E98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0.45%-1.65%</w:t>
            </w: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3245" w:type="dxa"/>
          </w:tcPr>
          <w:p w14:paraId="4C1E832C" w14:textId="77777777" w:rsidR="003338C2" w:rsidRDefault="003338C2" w:rsidP="003338C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可拓展發卡數量與交易金額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  <w:p w14:paraId="499AFA5D" w14:textId="77777777" w:rsidR="005A1A48" w:rsidRDefault="003338C2" w:rsidP="003338C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行動支付多為小額支付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本行刷卡損益兩平之交易金額需約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600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元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筆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，評估實際收益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有限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3246" w:type="dxa"/>
          </w:tcPr>
          <w:p w14:paraId="59839148" w14:textId="77777777" w:rsidR="005A1A48" w:rsidRPr="005A1A48" w:rsidRDefault="005A1A48" w:rsidP="003338C2">
            <w:pPr>
              <w:adjustRightInd w:val="0"/>
              <w:snapToGrid w:val="0"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本行信用卡有效卡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不高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，平均每卡單位成本較高。</w:t>
            </w:r>
          </w:p>
          <w:p w14:paraId="27696CA5" w14:textId="77777777" w:rsidR="005A1A48" w:rsidRDefault="003338C2" w:rsidP="005A1A48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評估本行信用卡經營成本較高，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與行動支付業者合作信用卡支付之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效益應不敷支應建置成本與相關費用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</w:t>
            </w:r>
            <w:r w:rsidRPr="003338C2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故暫</w:t>
            </w:r>
            <w:r w:rsidR="007C7529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緩</w:t>
            </w:r>
            <w:r w:rsidRPr="003338C2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規劃合作</w:t>
            </w:r>
            <w:r w:rsidR="007C7529" w:rsidRPr="007C7529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信用卡</w:t>
            </w:r>
            <w:r w:rsidR="007C7529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支付</w:t>
            </w:r>
            <w:r w:rsidRPr="003338C2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  <w:u w:val="single"/>
              </w:rPr>
              <w:t>。</w:t>
            </w:r>
          </w:p>
        </w:tc>
      </w:tr>
    </w:tbl>
    <w:p w14:paraId="651109BE" w14:textId="77777777" w:rsidR="005A1A48" w:rsidRPr="003338C2" w:rsidRDefault="005A1A48" w:rsidP="005A1A48">
      <w:pPr>
        <w:pStyle w:val="a3"/>
        <w:numPr>
          <w:ilvl w:val="0"/>
          <w:numId w:val="3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合作【</w:t>
      </w:r>
      <w:r w:rsidRPr="005A1A48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帳戶儲值</w:t>
      </w:r>
      <w:r w:rsidRPr="005A1A48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/</w:t>
      </w:r>
      <w:r w:rsidRPr="005A1A48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扣款</w:t>
      </w:r>
      <w:r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】</w:t>
      </w:r>
      <w:r w:rsidRPr="00C72E98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：</w:t>
      </w:r>
    </w:p>
    <w:tbl>
      <w:tblPr>
        <w:tblStyle w:val="a8"/>
        <w:tblW w:w="0" w:type="auto"/>
        <w:tblInd w:w="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6"/>
        <w:gridCol w:w="2935"/>
        <w:gridCol w:w="2865"/>
      </w:tblGrid>
      <w:tr w:rsidR="003338C2" w14:paraId="484F1A24" w14:textId="77777777" w:rsidTr="00711D4A">
        <w:tc>
          <w:tcPr>
            <w:tcW w:w="3245" w:type="dxa"/>
          </w:tcPr>
          <w:p w14:paraId="59AFA366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成本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評估</w:t>
            </w:r>
          </w:p>
        </w:tc>
        <w:tc>
          <w:tcPr>
            <w:tcW w:w="3245" w:type="dxa"/>
          </w:tcPr>
          <w:p w14:paraId="421C770A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效益評估</w:t>
            </w:r>
          </w:p>
        </w:tc>
        <w:tc>
          <w:tcPr>
            <w:tcW w:w="3246" w:type="dxa"/>
            <w:vAlign w:val="center"/>
          </w:tcPr>
          <w:p w14:paraId="590FA58E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綜合評估</w:t>
            </w:r>
          </w:p>
        </w:tc>
      </w:tr>
      <w:tr w:rsidR="003338C2" w14:paraId="40B9A87D" w14:textId="77777777" w:rsidTr="00711D4A">
        <w:tc>
          <w:tcPr>
            <w:tcW w:w="3245" w:type="dxa"/>
          </w:tcPr>
          <w:p w14:paraId="1DAAC3F4" w14:textId="77777777" w:rsidR="003338C2" w:rsidRDefault="003338C2" w:rsidP="003338C2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行銷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串接費用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：</w:t>
            </w:r>
          </w:p>
          <w:p w14:paraId="3B2C1832" w14:textId="77777777" w:rsidR="003338C2" w:rsidRDefault="003338C2" w:rsidP="00711D4A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C72E9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串接費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25A9049E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50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萬元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一次性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  <w:p w14:paraId="6022DBB1" w14:textId="77777777" w:rsidR="003338C2" w:rsidRDefault="003338C2" w:rsidP="00711D4A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【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合作行銷費用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3452FB47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每年均需編列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預算。</w:t>
            </w:r>
          </w:p>
          <w:p w14:paraId="6E7EB4CC" w14:textId="77777777" w:rsidR="003338C2" w:rsidRDefault="003338C2" w:rsidP="003338C2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系統開發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5A1A4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人力作業成本：</w:t>
            </w:r>
          </w:p>
          <w:p w14:paraId="0DEAE66E" w14:textId="77777777" w:rsidR="003338C2" w:rsidRDefault="003338C2" w:rsidP="00711D4A">
            <w:pPr>
              <w:pStyle w:val="a3"/>
              <w:numPr>
                <w:ilvl w:val="0"/>
                <w:numId w:val="21"/>
              </w:numPr>
              <w:adjustRightInd w:val="0"/>
              <w:snapToGrid w:val="0"/>
              <w:spacing w:line="0" w:lineRule="atLeast"/>
              <w:ind w:leftChars="0" w:left="488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【程式修改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】</w:t>
            </w:r>
          </w:p>
          <w:p w14:paraId="0796C83B" w14:textId="77777777" w:rsidR="003338C2" w:rsidRDefault="003338C2" w:rsidP="003338C2">
            <w:pPr>
              <w:pStyle w:val="a3"/>
              <w:adjustRightInd w:val="0"/>
              <w:snapToGrid w:val="0"/>
              <w:spacing w:line="0" w:lineRule="atLeast"/>
              <w:ind w:leftChars="0" w:left="488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資訊處需</w:t>
            </w:r>
            <w:r w:rsidR="0049756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配合</w:t>
            </w:r>
            <w:r w:rsidR="00497563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各支付業者</w:t>
            </w:r>
            <w:r w:rsidR="0049756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要求，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逐一開發連線</w:t>
            </w:r>
            <w:r w:rsidR="00497563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串接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程式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(API)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  <w:p w14:paraId="3E8C30BD" w14:textId="77777777" w:rsidR="003338C2" w:rsidRDefault="003338C2" w:rsidP="003338C2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spacing w:line="0" w:lineRule="atLeast"/>
              <w:ind w:leftChars="0" w:left="244" w:hanging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其他成本</w:t>
            </w:r>
          </w:p>
          <w:p w14:paraId="23368A12" w14:textId="77777777" w:rsidR="003338C2" w:rsidRDefault="003338C2" w:rsidP="00711D4A">
            <w:pPr>
              <w:pStyle w:val="a3"/>
              <w:adjustRightInd w:val="0"/>
              <w:snapToGrid w:val="0"/>
              <w:spacing w:line="0" w:lineRule="atLeast"/>
              <w:ind w:leftChars="0" w:left="24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72E9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銀行與此類支付業者合作，造成活期存款流失，進而影響相關業務推展</w:t>
            </w:r>
          </w:p>
        </w:tc>
        <w:tc>
          <w:tcPr>
            <w:tcW w:w="3245" w:type="dxa"/>
          </w:tcPr>
          <w:p w14:paraId="7E5B8BFC" w14:textId="77777777" w:rsidR="003338C2" w:rsidRDefault="003338C2" w:rsidP="003338C2">
            <w:pPr>
              <w:pStyle w:val="a3"/>
              <w:numPr>
                <w:ilvl w:val="0"/>
                <w:numId w:val="24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支付業者將依據「由合作銀行儲值金額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扣款」之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0.1%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提供手續費</w:t>
            </w: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vertAlign w:val="superscript"/>
              </w:rPr>
              <w:t>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  <w:p w14:paraId="19162C46" w14:textId="77777777" w:rsidR="003338C2" w:rsidRDefault="003338C2" w:rsidP="003338C2">
            <w:pPr>
              <w:pStyle w:val="a3"/>
              <w:numPr>
                <w:ilvl w:val="0"/>
                <w:numId w:val="24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可提升銀行帳戶之活化與使用率。</w:t>
            </w:r>
          </w:p>
          <w:p w14:paraId="02AD384C" w14:textId="77777777" w:rsidR="003338C2" w:rsidRPr="003338C2" w:rsidRDefault="003338C2" w:rsidP="003338C2">
            <w:pPr>
              <w:adjustRightInd w:val="0"/>
              <w:snapToGrid w:val="0"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4A557E4C" w14:textId="77777777" w:rsidR="003338C2" w:rsidRPr="003338C2" w:rsidRDefault="003338C2" w:rsidP="003338C2">
            <w:pPr>
              <w:adjustRightInd w:val="0"/>
              <w:snapToGrid w:val="0"/>
              <w:spacing w:line="0" w:lineRule="atLeast"/>
              <w:ind w:left="200" w:hangingChars="100" w:hanging="20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4"/>
              </w:rPr>
              <w:t>※目前新簽約之業者多</w:t>
            </w:r>
            <w:proofErr w:type="gramStart"/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4"/>
              </w:rPr>
              <w:t>採</w:t>
            </w:r>
            <w:proofErr w:type="gramEnd"/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4"/>
              </w:rPr>
              <w:t>「儲值金額扣除提領金額」</w:t>
            </w:r>
            <w:proofErr w:type="gramStart"/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4"/>
              </w:rPr>
              <w:t>之淨儲值</w:t>
            </w:r>
            <w:proofErr w:type="gramEnd"/>
            <w:r w:rsidRPr="003338C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4"/>
              </w:rPr>
              <w:t>金額計算。</w:t>
            </w:r>
          </w:p>
        </w:tc>
        <w:tc>
          <w:tcPr>
            <w:tcW w:w="3246" w:type="dxa"/>
          </w:tcPr>
          <w:p w14:paraId="4CDAF66A" w14:textId="77777777" w:rsidR="00497563" w:rsidRDefault="00497563" w:rsidP="00711D4A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評估合作</w:t>
            </w: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帳戶儲值</w:t>
            </w: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49756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扣款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可持續獲取手續費收入，不致虧損，</w:t>
            </w:r>
            <w:r w:rsidRPr="0015474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且可提升銀行帳戶之活化與使用率。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惟逐間串接需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花費較多人力開發資訊系統，故評估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可逐步與市場上規模較大之行動支付業者合作。</w:t>
            </w:r>
          </w:p>
          <w:p w14:paraId="072C11F5" w14:textId="77777777" w:rsidR="003338C2" w:rsidRDefault="00497563" w:rsidP="00711D4A">
            <w:pPr>
              <w:pStyle w:val="a3"/>
              <w:adjustRightInd w:val="0"/>
              <w:snapToGrid w:val="0"/>
              <w:spacing w:line="0" w:lineRule="atLeast"/>
              <w:ind w:leftChars="0" w:left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另為節省系統開發時程，</w:t>
            </w:r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後續擬配合財金公司「電子支付跨機構共用平台」進展，</w:t>
            </w:r>
            <w:proofErr w:type="gramStart"/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一次性串接</w:t>
            </w:r>
            <w:proofErr w:type="gramEnd"/>
            <w:r w:rsidR="003338C2" w:rsidRPr="003338C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各大行動支付，拓展業務合作。</w:t>
            </w:r>
          </w:p>
        </w:tc>
      </w:tr>
    </w:tbl>
    <w:p w14:paraId="2D819E00" w14:textId="77777777" w:rsidR="00397F50" w:rsidRPr="00C72E98" w:rsidRDefault="005D5047" w:rsidP="003338C2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綜合評估，</w:t>
      </w:r>
      <w:r w:rsidR="003245F3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考量本行經營規模不如同業，</w:t>
      </w:r>
      <w:r w:rsidR="00B67DA4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且信用卡經營成本較高，僅評估合作效益應不敷支應建置成本。</w:t>
      </w:r>
      <w:r w:rsidR="003245F3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本處將參考同業發展與民眾使用習慣，</w:t>
      </w:r>
      <w:r w:rsidR="000E2C1F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以兼顧本行業務發展與經營成本效益為前提，</w:t>
      </w:r>
      <w:r w:rsidR="00B67DA4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透過「降低成本」、「提升衍生效益」等執行策略，以本行整體性效益為考量，</w:t>
      </w:r>
      <w:r w:rsidR="000E2C1F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逐步展開</w:t>
      </w:r>
      <w:r w:rsidR="003245F3" w:rsidRP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與各大行動支付業者合作</w:t>
      </w:r>
      <w:r w:rsidR="003338C2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3338C2" w:rsidRPr="00C72E9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sectPr w:rsidR="00397F50" w:rsidRPr="00C72E98" w:rsidSect="005A1A48">
      <w:footerReference w:type="default" r:id="rId7"/>
      <w:pgSz w:w="11906" w:h="16838"/>
      <w:pgMar w:top="1135" w:right="1080" w:bottom="993" w:left="108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9905" w14:textId="77777777" w:rsidR="003966B7" w:rsidRDefault="003966B7" w:rsidP="00046270">
      <w:r>
        <w:separator/>
      </w:r>
    </w:p>
  </w:endnote>
  <w:endnote w:type="continuationSeparator" w:id="0">
    <w:p w14:paraId="566468F3" w14:textId="77777777" w:rsidR="003966B7" w:rsidRDefault="003966B7" w:rsidP="0004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D7EF" w14:textId="77777777" w:rsidR="00C72E98" w:rsidRPr="00C72E98" w:rsidRDefault="00C72E98" w:rsidP="00C72E98">
    <w:pPr>
      <w:pStyle w:val="a6"/>
      <w:jc w:val="center"/>
      <w:rPr>
        <w:rFonts w:ascii="Times New Roman" w:eastAsia="標楷體" w:hAnsi="Times New Roman" w:cs="Times New Roman"/>
      </w:rPr>
    </w:pPr>
    <w:r w:rsidRPr="00C72E98">
      <w:rPr>
        <w:rFonts w:ascii="Times New Roman" w:eastAsia="標楷體" w:hAnsi="Times New Roman" w:cs="Times New Roman"/>
      </w:rPr>
      <w:t>第</w:t>
    </w:r>
    <w:r w:rsidRPr="00C72E98">
      <w:rPr>
        <w:rFonts w:ascii="Times New Roman" w:eastAsia="標楷體" w:hAnsi="Times New Roman" w:cs="Times New Roman"/>
      </w:rPr>
      <w:fldChar w:fldCharType="begin"/>
    </w:r>
    <w:r w:rsidRPr="00C72E98">
      <w:rPr>
        <w:rFonts w:ascii="Times New Roman" w:eastAsia="標楷體" w:hAnsi="Times New Roman" w:cs="Times New Roman"/>
      </w:rPr>
      <w:instrText xml:space="preserve"> PAGE   \* MERGEFORMAT </w:instrText>
    </w:r>
    <w:r w:rsidRPr="00C72E98">
      <w:rPr>
        <w:rFonts w:ascii="Times New Roman" w:eastAsia="標楷體" w:hAnsi="Times New Roman" w:cs="Times New Roman"/>
      </w:rPr>
      <w:fldChar w:fldCharType="separate"/>
    </w:r>
    <w:r w:rsidRPr="00C72E98">
      <w:rPr>
        <w:rFonts w:ascii="Times New Roman" w:eastAsia="標楷體" w:hAnsi="Times New Roman" w:cs="Times New Roman"/>
        <w:noProof/>
      </w:rPr>
      <w:t>3</w:t>
    </w:r>
    <w:r w:rsidRPr="00C72E98">
      <w:rPr>
        <w:rFonts w:ascii="Times New Roman" w:eastAsia="標楷體" w:hAnsi="Times New Roman" w:cs="Times New Roman"/>
      </w:rPr>
      <w:fldChar w:fldCharType="end"/>
    </w:r>
    <w:r w:rsidRPr="00C72E98">
      <w:rPr>
        <w:rFonts w:ascii="Times New Roman" w:eastAsia="標楷體" w:hAnsi="Times New Roman" w:cs="Times New Roman"/>
      </w:rPr>
      <w:t>頁　共</w:t>
    </w:r>
    <w:r w:rsidRPr="00C72E98">
      <w:rPr>
        <w:rFonts w:ascii="Times New Roman" w:eastAsia="標楷體" w:hAnsi="Times New Roman" w:cs="Times New Roman"/>
      </w:rPr>
      <w:fldChar w:fldCharType="begin"/>
    </w:r>
    <w:r w:rsidRPr="00C72E98">
      <w:rPr>
        <w:rFonts w:ascii="Times New Roman" w:eastAsia="標楷體" w:hAnsi="Times New Roman" w:cs="Times New Roman"/>
      </w:rPr>
      <w:instrText xml:space="preserve"> NUMPAGES   \* MERGEFORMAT </w:instrText>
    </w:r>
    <w:r w:rsidRPr="00C72E98">
      <w:rPr>
        <w:rFonts w:ascii="Times New Roman" w:eastAsia="標楷體" w:hAnsi="Times New Roman" w:cs="Times New Roman"/>
      </w:rPr>
      <w:fldChar w:fldCharType="separate"/>
    </w:r>
    <w:r w:rsidRPr="00C72E98">
      <w:rPr>
        <w:rFonts w:ascii="Times New Roman" w:eastAsia="標楷體" w:hAnsi="Times New Roman" w:cs="Times New Roman"/>
        <w:noProof/>
      </w:rPr>
      <w:t>3</w:t>
    </w:r>
    <w:r w:rsidRPr="00C72E98">
      <w:rPr>
        <w:rFonts w:ascii="Times New Roman" w:eastAsia="標楷體" w:hAnsi="Times New Roman" w:cs="Times New Roman"/>
      </w:rPr>
      <w:fldChar w:fldCharType="end"/>
    </w:r>
    <w:r w:rsidRPr="00C72E98">
      <w:rPr>
        <w:rFonts w:ascii="Times New Roman" w:eastAsia="標楷體" w:hAnsi="Times New Roman" w:cs="Times New Roman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4077" w14:textId="77777777" w:rsidR="003966B7" w:rsidRDefault="003966B7" w:rsidP="00046270">
      <w:r>
        <w:separator/>
      </w:r>
    </w:p>
  </w:footnote>
  <w:footnote w:type="continuationSeparator" w:id="0">
    <w:p w14:paraId="5465417C" w14:textId="77777777" w:rsidR="003966B7" w:rsidRDefault="003966B7" w:rsidP="00046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51F"/>
    <w:multiLevelType w:val="hybridMultilevel"/>
    <w:tmpl w:val="B498DD3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3A511EE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72A16A9"/>
    <w:multiLevelType w:val="hybridMultilevel"/>
    <w:tmpl w:val="2BFA9AAC"/>
    <w:lvl w:ilvl="0" w:tplc="0409001B">
      <w:start w:val="1"/>
      <w:numFmt w:val="lowerRoman"/>
      <w:lvlText w:val="%1."/>
      <w:lvlJc w:val="righ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08684150"/>
    <w:multiLevelType w:val="hybridMultilevel"/>
    <w:tmpl w:val="2E560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C23611"/>
    <w:multiLevelType w:val="hybridMultilevel"/>
    <w:tmpl w:val="8FC89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BD08E6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17484C84"/>
    <w:multiLevelType w:val="hybridMultilevel"/>
    <w:tmpl w:val="EA0EA21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D021B37"/>
    <w:multiLevelType w:val="hybridMultilevel"/>
    <w:tmpl w:val="AAF88A1E"/>
    <w:lvl w:ilvl="0" w:tplc="980EF69E">
      <w:start w:val="1"/>
      <w:numFmt w:val="taiwaneseCountingThousand"/>
      <w:lvlText w:val="(%1)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6A410F1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7A762FD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8E45DF3"/>
    <w:multiLevelType w:val="hybridMultilevel"/>
    <w:tmpl w:val="9774DE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B44175C"/>
    <w:multiLevelType w:val="hybridMultilevel"/>
    <w:tmpl w:val="C068D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2FD4BF5"/>
    <w:multiLevelType w:val="hybridMultilevel"/>
    <w:tmpl w:val="0972CE9C"/>
    <w:lvl w:ilvl="0" w:tplc="CE4CCC64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sz w:val="24"/>
        <w:u w:val="none"/>
        <w:vertAlign w:val="baseline"/>
        <w:lang w:val="en-US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207021"/>
    <w:multiLevelType w:val="hybridMultilevel"/>
    <w:tmpl w:val="2E560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4705DF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563A3EEE"/>
    <w:multiLevelType w:val="hybridMultilevel"/>
    <w:tmpl w:val="D8E204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A386072"/>
    <w:multiLevelType w:val="hybridMultilevel"/>
    <w:tmpl w:val="9774DE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B45195"/>
    <w:multiLevelType w:val="hybridMultilevel"/>
    <w:tmpl w:val="E22A28DA"/>
    <w:lvl w:ilvl="0" w:tplc="615446C4">
      <w:start w:val="1"/>
      <w:numFmt w:val="bullet"/>
      <w:lvlText w:val=""/>
      <w:lvlJc w:val="left"/>
      <w:pPr>
        <w:ind w:left="7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</w:abstractNum>
  <w:abstractNum w:abstractNumId="18" w15:restartNumberingAfterBreak="0">
    <w:nsid w:val="63B015DE"/>
    <w:multiLevelType w:val="hybridMultilevel"/>
    <w:tmpl w:val="3F74A758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64EA34CC"/>
    <w:multiLevelType w:val="hybridMultilevel"/>
    <w:tmpl w:val="8FC89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CE1A58"/>
    <w:multiLevelType w:val="hybridMultilevel"/>
    <w:tmpl w:val="D8E204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8831C33"/>
    <w:multiLevelType w:val="hybridMultilevel"/>
    <w:tmpl w:val="EA0EA21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9272F15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E3D4F61"/>
    <w:multiLevelType w:val="hybridMultilevel"/>
    <w:tmpl w:val="317CE47A"/>
    <w:lvl w:ilvl="0" w:tplc="B78ADB0A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eastAsiaTheme="minorEastAsia" w:hAnsiTheme="minorHAnsi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2614059">
    <w:abstractNumId w:val="23"/>
  </w:num>
  <w:num w:numId="2" w16cid:durableId="474565190">
    <w:abstractNumId w:val="12"/>
  </w:num>
  <w:num w:numId="3" w16cid:durableId="705839635">
    <w:abstractNumId w:val="7"/>
  </w:num>
  <w:num w:numId="4" w16cid:durableId="240524983">
    <w:abstractNumId w:val="11"/>
  </w:num>
  <w:num w:numId="5" w16cid:durableId="1283615588">
    <w:abstractNumId w:val="21"/>
  </w:num>
  <w:num w:numId="6" w16cid:durableId="981622109">
    <w:abstractNumId w:val="6"/>
  </w:num>
  <w:num w:numId="7" w16cid:durableId="1607618498">
    <w:abstractNumId w:val="0"/>
  </w:num>
  <w:num w:numId="8" w16cid:durableId="1523207042">
    <w:abstractNumId w:val="14"/>
  </w:num>
  <w:num w:numId="9" w16cid:durableId="1819953535">
    <w:abstractNumId w:val="18"/>
  </w:num>
  <w:num w:numId="10" w16cid:durableId="930117296">
    <w:abstractNumId w:val="1"/>
  </w:num>
  <w:num w:numId="11" w16cid:durableId="1064984421">
    <w:abstractNumId w:val="5"/>
  </w:num>
  <w:num w:numId="12" w16cid:durableId="851647936">
    <w:abstractNumId w:val="15"/>
  </w:num>
  <w:num w:numId="13" w16cid:durableId="726532692">
    <w:abstractNumId w:val="8"/>
  </w:num>
  <w:num w:numId="14" w16cid:durableId="2083866662">
    <w:abstractNumId w:val="9"/>
  </w:num>
  <w:num w:numId="15" w16cid:durableId="252277095">
    <w:abstractNumId w:val="22"/>
  </w:num>
  <w:num w:numId="16" w16cid:durableId="157886925">
    <w:abstractNumId w:val="16"/>
  </w:num>
  <w:num w:numId="17" w16cid:durableId="720523510">
    <w:abstractNumId w:val="20"/>
  </w:num>
  <w:num w:numId="18" w16cid:durableId="420874695">
    <w:abstractNumId w:val="2"/>
  </w:num>
  <w:num w:numId="19" w16cid:durableId="1822190900">
    <w:abstractNumId w:val="10"/>
  </w:num>
  <w:num w:numId="20" w16cid:durableId="312103673">
    <w:abstractNumId w:val="13"/>
  </w:num>
  <w:num w:numId="21" w16cid:durableId="1562247258">
    <w:abstractNumId w:val="17"/>
  </w:num>
  <w:num w:numId="22" w16cid:durableId="1047800414">
    <w:abstractNumId w:val="3"/>
  </w:num>
  <w:num w:numId="23" w16cid:durableId="1639606220">
    <w:abstractNumId w:val="4"/>
  </w:num>
  <w:num w:numId="24" w16cid:durableId="1854413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9"/>
    <w:rsid w:val="0003535D"/>
    <w:rsid w:val="00046270"/>
    <w:rsid w:val="000476FB"/>
    <w:rsid w:val="000B613E"/>
    <w:rsid w:val="000C0C30"/>
    <w:rsid w:val="000D0504"/>
    <w:rsid w:val="000D0782"/>
    <w:rsid w:val="000E1603"/>
    <w:rsid w:val="000E2C1F"/>
    <w:rsid w:val="00103BDA"/>
    <w:rsid w:val="00121A4D"/>
    <w:rsid w:val="0013083C"/>
    <w:rsid w:val="001441DA"/>
    <w:rsid w:val="0015474E"/>
    <w:rsid w:val="001A7AC9"/>
    <w:rsid w:val="001B0092"/>
    <w:rsid w:val="001B7498"/>
    <w:rsid w:val="001D5803"/>
    <w:rsid w:val="001E6109"/>
    <w:rsid w:val="001E6DD3"/>
    <w:rsid w:val="001F2AC4"/>
    <w:rsid w:val="001F51D3"/>
    <w:rsid w:val="00213D2F"/>
    <w:rsid w:val="00223AC8"/>
    <w:rsid w:val="0023454F"/>
    <w:rsid w:val="0024376C"/>
    <w:rsid w:val="00283AA3"/>
    <w:rsid w:val="002A7E28"/>
    <w:rsid w:val="002B4439"/>
    <w:rsid w:val="003127C6"/>
    <w:rsid w:val="00324161"/>
    <w:rsid w:val="003245F3"/>
    <w:rsid w:val="00327D0B"/>
    <w:rsid w:val="003338C2"/>
    <w:rsid w:val="00345AF6"/>
    <w:rsid w:val="00345F76"/>
    <w:rsid w:val="003506F5"/>
    <w:rsid w:val="00352F7C"/>
    <w:rsid w:val="00354D9F"/>
    <w:rsid w:val="00384B02"/>
    <w:rsid w:val="003966B7"/>
    <w:rsid w:val="00397F50"/>
    <w:rsid w:val="003E79A4"/>
    <w:rsid w:val="004120D8"/>
    <w:rsid w:val="00414798"/>
    <w:rsid w:val="00425F66"/>
    <w:rsid w:val="00450500"/>
    <w:rsid w:val="004649EE"/>
    <w:rsid w:val="00495A91"/>
    <w:rsid w:val="00497563"/>
    <w:rsid w:val="004A5A78"/>
    <w:rsid w:val="004D70FE"/>
    <w:rsid w:val="004E35C9"/>
    <w:rsid w:val="00521D6E"/>
    <w:rsid w:val="005277B3"/>
    <w:rsid w:val="00561A76"/>
    <w:rsid w:val="00567F4E"/>
    <w:rsid w:val="0059405C"/>
    <w:rsid w:val="005A1A48"/>
    <w:rsid w:val="005C05BF"/>
    <w:rsid w:val="005D5047"/>
    <w:rsid w:val="005D68DF"/>
    <w:rsid w:val="005E2AA2"/>
    <w:rsid w:val="005E5E63"/>
    <w:rsid w:val="005F7CAD"/>
    <w:rsid w:val="00605A15"/>
    <w:rsid w:val="00607ECE"/>
    <w:rsid w:val="0061018F"/>
    <w:rsid w:val="00617234"/>
    <w:rsid w:val="006443F4"/>
    <w:rsid w:val="006662C6"/>
    <w:rsid w:val="00686E94"/>
    <w:rsid w:val="006B7E15"/>
    <w:rsid w:val="006E5BE0"/>
    <w:rsid w:val="006F171B"/>
    <w:rsid w:val="00700DD3"/>
    <w:rsid w:val="00753E75"/>
    <w:rsid w:val="007C1D22"/>
    <w:rsid w:val="007C7529"/>
    <w:rsid w:val="007D6E06"/>
    <w:rsid w:val="007F3618"/>
    <w:rsid w:val="007F3EF9"/>
    <w:rsid w:val="00817477"/>
    <w:rsid w:val="00846273"/>
    <w:rsid w:val="008770E7"/>
    <w:rsid w:val="008941F2"/>
    <w:rsid w:val="008A1931"/>
    <w:rsid w:val="008B7F96"/>
    <w:rsid w:val="008C5AD4"/>
    <w:rsid w:val="008D035F"/>
    <w:rsid w:val="00955250"/>
    <w:rsid w:val="00965297"/>
    <w:rsid w:val="00981438"/>
    <w:rsid w:val="009955AC"/>
    <w:rsid w:val="009A735C"/>
    <w:rsid w:val="009F0BE7"/>
    <w:rsid w:val="00A021A3"/>
    <w:rsid w:val="00A25541"/>
    <w:rsid w:val="00A43AD0"/>
    <w:rsid w:val="00A514EE"/>
    <w:rsid w:val="00A743DB"/>
    <w:rsid w:val="00A871F7"/>
    <w:rsid w:val="00AE06DE"/>
    <w:rsid w:val="00AE4A75"/>
    <w:rsid w:val="00AF66BC"/>
    <w:rsid w:val="00B0207A"/>
    <w:rsid w:val="00B456C9"/>
    <w:rsid w:val="00B52F97"/>
    <w:rsid w:val="00B67DA4"/>
    <w:rsid w:val="00BD45CB"/>
    <w:rsid w:val="00BD496F"/>
    <w:rsid w:val="00BE4D05"/>
    <w:rsid w:val="00C37B7E"/>
    <w:rsid w:val="00C40260"/>
    <w:rsid w:val="00C47061"/>
    <w:rsid w:val="00C702B5"/>
    <w:rsid w:val="00C72E98"/>
    <w:rsid w:val="00C82EA2"/>
    <w:rsid w:val="00C86D3F"/>
    <w:rsid w:val="00CA6782"/>
    <w:rsid w:val="00CE57D2"/>
    <w:rsid w:val="00CF26E0"/>
    <w:rsid w:val="00D56914"/>
    <w:rsid w:val="00D97949"/>
    <w:rsid w:val="00DB7397"/>
    <w:rsid w:val="00DD6FE0"/>
    <w:rsid w:val="00DF70C1"/>
    <w:rsid w:val="00E102C8"/>
    <w:rsid w:val="00E216F4"/>
    <w:rsid w:val="00E258AB"/>
    <w:rsid w:val="00E5068A"/>
    <w:rsid w:val="00E554C2"/>
    <w:rsid w:val="00E90264"/>
    <w:rsid w:val="00EA5B33"/>
    <w:rsid w:val="00EC511D"/>
    <w:rsid w:val="00EF0BC1"/>
    <w:rsid w:val="00F50B6C"/>
    <w:rsid w:val="00FA4F1F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C44F3"/>
  <w15:chartTrackingRefBased/>
  <w15:docId w15:val="{4F43F48F-DE5D-48F9-84BA-C38DAF52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7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6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2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270"/>
    <w:rPr>
      <w:sz w:val="20"/>
      <w:szCs w:val="20"/>
    </w:rPr>
  </w:style>
  <w:style w:type="table" w:styleId="a8">
    <w:name w:val="Table Grid"/>
    <w:basedOn w:val="a1"/>
    <w:uiPriority w:val="39"/>
    <w:rsid w:val="00BD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52F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52F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285</Words>
  <Characters>1625</Characters>
  <Application>Microsoft Office Word</Application>
  <DocSecurity>0</DocSecurity>
  <Lines>13</Lines>
  <Paragraphs>3</Paragraphs>
  <ScaleCrop>false</ScaleCrop>
  <Company>BOK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蔡艷珍</dc:creator>
  <cp:keywords/>
  <dc:description/>
  <cp:lastModifiedBy>陳逸恆</cp:lastModifiedBy>
  <cp:revision>5</cp:revision>
  <cp:lastPrinted>2024-04-09T01:57:00Z</cp:lastPrinted>
  <dcterms:created xsi:type="dcterms:W3CDTF">2025-10-29T07:48:00Z</dcterms:created>
  <dcterms:modified xsi:type="dcterms:W3CDTF">2025-10-29T09:20:00Z</dcterms:modified>
</cp:coreProperties>
</file>