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left"/>
        <w:rPr/>
      </w:pPr>
      <w:r>
        <w:rPr/>
        <w:t>Phoenix Token (PXT)</w:t>
      </w:r>
    </w:p>
    <w:p>
      <w:pPr>
        <w:pStyle w:val="Normal"/>
        <w:spacing w:before="0" w:after="40"/>
        <w:rPr/>
      </w:pPr>
      <w:r>
        <w:rPr>
          <w:rFonts w:eastAsia="Calibri" w:cs="Calibri"/>
          <w:b/>
          <w:i w:val="false"/>
          <w:color w:val="C45C26"/>
          <w:sz w:val="24"/>
        </w:rPr>
        <w:t>WHITEPAPER</w:t>
      </w:r>
    </w:p>
    <w:p>
      <w:pPr>
        <w:pStyle w:val="Normal"/>
        <w:spacing w:before="0" w:after="200"/>
        <w:rPr/>
      </w:pPr>
      <w:r>
        <w:rPr>
          <w:rFonts w:eastAsia="Calibri" w:cs="Calibri"/>
          <w:b w:val="false"/>
          <w:i/>
          <w:color w:val="555555"/>
          <w:sz w:val="22"/>
        </w:rPr>
        <w:t>Version 1.0  ·  07 September 2026</w:t>
      </w:r>
    </w:p>
    <w:p>
      <w:pPr>
        <w:pStyle w:val="Normal"/>
        <w:spacing w:before="0" w:after="120"/>
        <w:rPr/>
      </w:pPr>
      <w:r>
        <w:rPr>
          <w:rFonts w:eastAsia="Calibri" w:cs="Calibri"/>
          <w:b w:val="false"/>
          <w:i w:val="false"/>
          <w:sz w:val="22"/>
        </w:rPr>
        <w:t xml:space="preserve">This document describes Phoenix Token as deployed on Base. The protocol source is </w:t>
      </w:r>
      <w:hyperlink r:id="rId2">
        <w:r>
          <w:rPr>
            <w:rFonts w:cs="Calibri"/>
            <w:color w:val="0563C1"/>
            <w:sz w:val="22"/>
            <w:szCs w:val="22"/>
            <w:u w:val="single"/>
          </w:rPr>
          <w:t>phoenix-protocol</w:t>
        </w:r>
      </w:hyperlink>
      <w:r>
        <w:rPr>
          <w:rFonts w:eastAsia="Calibri" w:cs="Calibri"/>
          <w:b w:val="false"/>
          <w:i w:val="false"/>
          <w:sz w:val="22"/>
        </w:rPr>
        <w:t xml:space="preserve"> on GitHub.</w:t>
      </w:r>
    </w:p>
    <w:p>
      <w:pPr>
        <w:pStyle w:val="Normal"/>
        <w:pBdr>
          <w:bottom w:val="single" w:sz="6" w:space="1" w:color="C45C26"/>
        </w:pBdr>
        <w:spacing w:before="80" w:after="80"/>
        <w:rPr/>
      </w:pPr>
      <w:r>
        <w:rPr/>
      </w:r>
    </w:p>
    <w:p>
      <w:pPr>
        <w:pStyle w:val="Heading1"/>
        <w:rPr/>
      </w:pPr>
      <w:r>
        <w:rPr/>
        <w:t>1. Abstract</w:t>
      </w:r>
    </w:p>
    <w:p>
      <w:pPr>
        <w:pStyle w:val="Normal"/>
        <w:spacing w:lineRule="auto" w:line="276" w:before="0" w:after="160"/>
        <w:rPr/>
      </w:pPr>
      <w:r>
        <w:rPr>
          <w:rFonts w:eastAsia="Calibri" w:cs="Calibri"/>
          <w:b w:val="false"/>
          <w:i w:val="false"/>
          <w:sz w:val="22"/>
        </w:rPr>
        <w:t xml:space="preserve">Phoenix Token (PXT) is the utility token of the Phoenix Project. It is the currency of that economy: members participate through </w:t>
      </w:r>
      <w:r>
        <w:rPr>
          <w:rFonts w:eastAsia="Calibri" w:cs="Calibri"/>
          <w:b/>
          <w:i w:val="false"/>
          <w:sz w:val="22"/>
        </w:rPr>
        <w:t>Participation Shares</w:t>
      </w:r>
      <w:r>
        <w:rPr>
          <w:rFonts w:eastAsia="Calibri" w:cs="Calibri"/>
          <w:b w:val="false"/>
          <w:i w:val="false"/>
          <w:sz w:val="22"/>
        </w:rPr>
        <w:t>, and the value those shares produce is settled in PXT.</w:t>
      </w:r>
    </w:p>
    <w:p>
      <w:pPr>
        <w:pStyle w:val="Normal"/>
        <w:spacing w:lineRule="auto" w:line="276" w:before="0" w:after="160"/>
        <w:rPr/>
      </w:pPr>
      <w:r>
        <w:rPr>
          <w:rFonts w:eastAsia="Calibri" w:cs="Calibri"/>
          <w:b w:val="false"/>
          <w:i w:val="false"/>
          <w:sz w:val="22"/>
        </w:rPr>
        <w:t xml:space="preserve">The token lives on Base as a standard ERC-20. The total supply is fixed. Members receive PXT in the project backoffice (rewards, staking, referrals, prizes) and can move it to an external wallet, send it to another person, or buy more of it against USDC on the official Uniswap pool. DEX sales are locked until </w:t>
      </w:r>
      <w:r>
        <w:rPr>
          <w:rFonts w:eastAsia="Calibri" w:cs="Calibri"/>
          <w:b/>
          <w:i w:val="false"/>
          <w:sz w:val="22"/>
        </w:rPr>
        <w:t>1 March 2027</w:t>
      </w:r>
      <w:r>
        <w:rPr>
          <w:rFonts w:eastAsia="Calibri" w:cs="Calibri"/>
          <w:b w:val="false"/>
          <w:i w:val="false"/>
          <w:sz w:val="22"/>
        </w:rPr>
        <w:t>; buys and wallet transfers work before that date.</w:t>
      </w:r>
    </w:p>
    <w:p>
      <w:pPr>
        <w:pStyle w:val="Heading1"/>
        <w:rPr/>
      </w:pPr>
      <w:r>
        <w:rPr/>
        <w:t>2. Utility</w:t>
      </w:r>
    </w:p>
    <w:p>
      <w:pPr>
        <w:pStyle w:val="Normal"/>
        <w:spacing w:lineRule="auto" w:line="276" w:before="0" w:after="160"/>
        <w:rPr/>
      </w:pPr>
      <w:r>
        <w:rPr>
          <w:rFonts w:eastAsia="Calibri" w:cs="Calibri"/>
          <w:b w:val="false"/>
          <w:i w:val="false"/>
          <w:sz w:val="22"/>
        </w:rPr>
        <w:t xml:space="preserve">The Phoenix Project is built around a shared production pool. The unit of membership in that pool is the </w:t>
      </w:r>
      <w:r>
        <w:rPr>
          <w:rFonts w:eastAsia="Calibri" w:cs="Calibri"/>
          <w:b/>
          <w:i w:val="false"/>
          <w:sz w:val="22"/>
        </w:rPr>
        <w:t>Participation Share</w:t>
      </w:r>
      <w:r>
        <w:rPr>
          <w:rFonts w:eastAsia="Calibri" w:cs="Calibri"/>
          <w:b w:val="false"/>
          <w:i w:val="false"/>
          <w:sz w:val="22"/>
        </w:rPr>
        <w:t>. A share is not a second token on the blockchain. It is the project’s measure of participation: rent or renew a share, and the backoffice records daily production against it.</w:t>
      </w:r>
    </w:p>
    <w:p>
      <w:pPr>
        <w:pStyle w:val="Normal"/>
        <w:spacing w:lineRule="auto" w:line="276" w:before="0" w:after="160"/>
        <w:rPr/>
      </w:pPr>
      <w:r>
        <w:rPr>
          <w:rFonts w:eastAsia="Calibri" w:cs="Calibri"/>
          <w:b w:val="false"/>
          <w:i w:val="false"/>
          <w:sz w:val="22"/>
        </w:rPr>
        <w:t>PXT is what that production becomes when it leaves the internal ledgers. The official presentation prices share rewards in USD for accounting, then converts them to PXT at the market rate when a member moves value to their main wallet, to staking, or to an external wallet. In that sense PXT is the settlement currency of the project: one asset that can sit in the backoffice, in a personal wallet, or in the public USDC pool.</w:t>
      </w:r>
    </w:p>
    <w:p>
      <w:pPr>
        <w:pStyle w:val="Normal"/>
        <w:spacing w:lineRule="auto" w:line="276" w:before="0" w:after="80"/>
        <w:rPr/>
      </w:pPr>
      <w:r>
        <w:rPr>
          <w:rFonts w:eastAsia="Calibri" w:cs="Calibri"/>
          <w:b w:val="false"/>
          <w:i w:val="false"/>
          <w:sz w:val="22"/>
        </w:rPr>
        <w:t>That is the token’s main utility:</w:t>
      </w:r>
    </w:p>
    <w:p>
      <w:pPr>
        <w:pStyle w:val="ListBullet"/>
        <w:numPr>
          <w:ilvl w:val="0"/>
          <w:numId w:val="1"/>
        </w:numPr>
        <w:spacing w:before="0" w:after="60"/>
        <w:ind w:left="504" w:hanging="360"/>
        <w:contextualSpacing/>
        <w:rPr/>
      </w:pPr>
      <w:r>
        <w:rPr>
          <w:rFonts w:eastAsia="Calibri" w:cs="Calibri"/>
          <w:b/>
          <w:i w:val="false"/>
          <w:sz w:val="22"/>
        </w:rPr>
        <w:t>Membership settlement.</w:t>
      </w:r>
      <w:r>
        <w:rPr>
          <w:rFonts w:eastAsia="Calibri" w:cs="Calibri"/>
          <w:b w:val="false"/>
          <w:i w:val="false"/>
          <w:sz w:val="22"/>
        </w:rPr>
        <w:t xml:space="preserve"> Daily production on a Participation Share is credited to Rewards, Vouchers, and Staking. When those balances are paid out, the member receives PXT, not a separate project coin.</w:t>
      </w:r>
    </w:p>
    <w:p>
      <w:pPr>
        <w:pStyle w:val="ListBullet"/>
        <w:numPr>
          <w:ilvl w:val="0"/>
          <w:numId w:val="1"/>
        </w:numPr>
        <w:spacing w:before="0" w:after="60"/>
        <w:ind w:left="504" w:hanging="360"/>
        <w:contextualSpacing/>
        <w:rPr/>
      </w:pPr>
      <w:r>
        <w:rPr>
          <w:rFonts w:eastAsia="Calibri" w:cs="Calibri"/>
          <w:b/>
          <w:i w:val="false"/>
          <w:sz w:val="22"/>
        </w:rPr>
        <w:t>External value.</w:t>
      </w:r>
      <w:r>
        <w:rPr>
          <w:rFonts w:eastAsia="Calibri" w:cs="Calibri"/>
          <w:b w:val="false"/>
          <w:i w:val="false"/>
          <w:sz w:val="22"/>
        </w:rPr>
        <w:t xml:space="preserve"> Once PXT is in an external wallet it has a market price against USDC. The presentation states that this price is what the backoffice uses for conversions and what the member sees in USD terms on the wallet.</w:t>
      </w:r>
    </w:p>
    <w:p>
      <w:pPr>
        <w:pStyle w:val="ListBullet"/>
        <w:numPr>
          <w:ilvl w:val="0"/>
          <w:numId w:val="1"/>
        </w:numPr>
        <w:spacing w:before="0" w:after="60"/>
        <w:ind w:left="504" w:hanging="360"/>
        <w:contextualSpacing/>
        <w:rPr/>
      </w:pPr>
      <w:r>
        <w:rPr>
          <w:rFonts w:eastAsia="Calibri" w:cs="Calibri"/>
          <w:b/>
          <w:i w:val="false"/>
          <w:sz w:val="22"/>
        </w:rPr>
        <w:t>Transfer inside the community.</w:t>
      </w:r>
      <w:r>
        <w:rPr>
          <w:rFonts w:eastAsia="Calibri" w:cs="Calibri"/>
          <w:b w:val="false"/>
          <w:i w:val="false"/>
          <w:sz w:val="22"/>
        </w:rPr>
        <w:t xml:space="preserve"> PXT can be sent wallet to wallet. Until pool sales unlock, that peer-to-peer path is also the way a holder can exit to another person.</w:t>
      </w:r>
    </w:p>
    <w:p>
      <w:pPr>
        <w:pStyle w:val="ListBullet"/>
        <w:numPr>
          <w:ilvl w:val="0"/>
          <w:numId w:val="1"/>
        </w:numPr>
        <w:spacing w:before="0" w:after="60"/>
        <w:ind w:left="504" w:hanging="360"/>
        <w:contextualSpacing/>
        <w:rPr/>
      </w:pPr>
      <w:r>
        <w:rPr>
          <w:rFonts w:eastAsia="Calibri" w:cs="Calibri"/>
          <w:b/>
          <w:i w:val="false"/>
          <w:sz w:val="22"/>
        </w:rPr>
        <w:t>Entry from outside.</w:t>
      </w:r>
      <w:r>
        <w:rPr>
          <w:rFonts w:eastAsia="Calibri" w:cs="Calibri"/>
          <w:b w:val="false"/>
          <w:i w:val="false"/>
          <w:sz w:val="22"/>
        </w:rPr>
        <w:t xml:space="preserve"> Deposits in ETH, WETH, USDC, or USDT on Base are described as buying PXT on Uniswap and crediting the member’s main wallet. Buying on the official pool is the public way to obtain the same currency the backoffice already uses.</w:t>
      </w:r>
    </w:p>
    <w:p>
      <w:pPr>
        <w:pStyle w:val="ListBullet"/>
        <w:numPr>
          <w:ilvl w:val="0"/>
          <w:numId w:val="1"/>
        </w:numPr>
        <w:spacing w:before="0" w:after="60"/>
        <w:ind w:left="504" w:hanging="360"/>
        <w:contextualSpacing/>
        <w:rPr/>
      </w:pPr>
      <w:r>
        <w:rPr>
          <w:rFonts w:eastAsia="Calibri" w:cs="Calibri"/>
          <w:b/>
          <w:i w:val="false"/>
          <w:sz w:val="22"/>
        </w:rPr>
        <w:t>Long-horizon design.</w:t>
      </w:r>
      <w:r>
        <w:rPr>
          <w:rFonts w:eastAsia="Calibri" w:cs="Calibri"/>
          <w:b w:val="false"/>
          <w:i w:val="false"/>
          <w:sz w:val="22"/>
        </w:rPr>
        <w:t xml:space="preserve"> Fees on buys, sells, and transfers fund donations, marketing, burn, and buyback. A sell lock until 1 March 2027 keeps the pool one-way (buys open, sales closed) while the membership economy is filling. None of that changes the role of PXT: it remains the unit members hold when they take production out of the platform.</w:t>
      </w:r>
    </w:p>
    <w:p>
      <w:pPr>
        <w:pStyle w:val="Normal"/>
        <w:spacing w:lineRule="auto" w:line="276" w:before="0" w:after="160"/>
        <w:rPr/>
      </w:pPr>
      <w:r>
        <w:rPr>
          <w:rFonts w:eastAsia="Calibri" w:cs="Calibri"/>
          <w:b w:val="false"/>
          <w:i w:val="false"/>
          <w:sz w:val="22"/>
        </w:rPr>
        <w:t>Base is the chain where this currency was issued and where the official PXT/USDC pool, the fee wallets, and the backoffice connection went live (6 September 2026). Wallets that support Base can hold PXT like any other ERC-20.</w:t>
      </w:r>
    </w:p>
    <w:p>
      <w:pPr>
        <w:pStyle w:val="Normal"/>
        <w:spacing w:lineRule="auto" w:line="276" w:before="0" w:after="160"/>
        <w:rPr/>
      </w:pPr>
      <w:r>
        <w:rPr>
          <w:rFonts w:eastAsia="Calibri" w:cs="Calibri"/>
          <w:b w:val="false"/>
          <w:i w:val="false"/>
          <w:sz w:val="22"/>
        </w:rPr>
        <w:t>PXT is not a share certificate and does not, by itself, create a Participation Share. Shares are rented and renewed in the backoffice. PXT is the token those shares pay in, and the token the rest of the project economy is counted in.</w:t>
      </w:r>
    </w:p>
    <w:p>
      <w:pPr>
        <w:pStyle w:val="Heading1"/>
        <w:rPr/>
      </w:pPr>
      <w:r>
        <w:rPr/>
        <w:t>3. Token specification</w:t>
      </w:r>
    </w:p>
    <w:tbl>
      <w:tblPr>
        <w:tblW w:w="9360" w:type="dxa"/>
        <w:jc w:val="center"/>
        <w:tblInd w:w="0" w:type="dxa"/>
        <w:tblLayout w:type="fixed"/>
        <w:tblCellMar>
          <w:top w:w="60" w:type="dxa"/>
          <w:left w:w="80" w:type="dxa"/>
          <w:bottom w:w="60" w:type="dxa"/>
          <w:right w:w="80" w:type="dxa"/>
        </w:tblCellMar>
        <w:tblLook w:val="04a0" w:noHBand="0" w:noVBand="1" w:firstColumn="1" w:lastRow="0" w:lastColumn="0" w:firstRow="1"/>
      </w:tblPr>
      <w:tblGrid>
        <w:gridCol w:w="4680"/>
        <w:gridCol w:w="4679"/>
      </w:tblGrid>
      <w:tr>
        <w:trPr>
          <w:cantSplit w:val="true"/>
        </w:trPr>
        <w:tc>
          <w:tcPr>
            <w:tcW w:w="4680" w:type="dxa"/>
            <w:tcBorders>
              <w:top w:val="single" w:sz="4" w:space="0" w:color="1A2B4A"/>
              <w:left w:val="single" w:sz="4" w:space="0" w:color="1A2B4A"/>
              <w:bottom w:val="single" w:sz="4" w:space="0" w:color="1A2B4A"/>
              <w:right w:val="single" w:sz="4" w:space="0" w:color="1A2B4A"/>
            </w:tcBorders>
            <w:shd w:fill="1A2B4A" w:val="clear"/>
            <w:vAlign w:val="center"/>
          </w:tcPr>
          <w:p>
            <w:pPr>
              <w:pStyle w:val="Normal"/>
              <w:widowControl w:val="false"/>
              <w:spacing w:before="0" w:after="0"/>
              <w:rPr/>
            </w:pPr>
            <w:r>
              <w:rPr>
                <w:rFonts w:eastAsia="Calibri" w:cs="Calibri"/>
                <w:b/>
                <w:i w:val="false"/>
                <w:color w:val="FFFFFF"/>
                <w:sz w:val="20"/>
              </w:rPr>
              <w:t>Field</w:t>
            </w:r>
          </w:p>
        </w:tc>
        <w:tc>
          <w:tcPr>
            <w:tcW w:w="4679" w:type="dxa"/>
            <w:tcBorders>
              <w:top w:val="single" w:sz="4" w:space="0" w:color="1A2B4A"/>
              <w:left w:val="single" w:sz="4" w:space="0" w:color="1A2B4A"/>
              <w:bottom w:val="single" w:sz="4" w:space="0" w:color="1A2B4A"/>
              <w:right w:val="single" w:sz="4" w:space="0" w:color="1A2B4A"/>
            </w:tcBorders>
            <w:shd w:fill="1A2B4A" w:val="clear"/>
            <w:vAlign w:val="center"/>
          </w:tcPr>
          <w:p>
            <w:pPr>
              <w:pStyle w:val="Normal"/>
              <w:widowControl w:val="false"/>
              <w:spacing w:before="0" w:after="0"/>
              <w:rPr/>
            </w:pPr>
            <w:r>
              <w:rPr>
                <w:rFonts w:eastAsia="Calibri" w:cs="Calibri"/>
                <w:b/>
                <w:i w:val="false"/>
                <w:color w:val="FFFFFF"/>
                <w:sz w:val="20"/>
              </w:rPr>
              <w:t>Value</w:t>
            </w:r>
          </w:p>
        </w:tc>
      </w:tr>
      <w:tr>
        <w:trPr>
          <w:cantSplit w:val="true"/>
        </w:trPr>
        <w:tc>
          <w:tcPr>
            <w:tcW w:w="4680" w:type="dxa"/>
            <w:tcBorders>
              <w:top w:val="single" w:sz="4" w:space="0" w:color="C8C2B8"/>
              <w:left w:val="single" w:sz="4" w:space="0" w:color="C8C2B8"/>
              <w:bottom w:val="single" w:sz="4" w:space="0" w:color="C8C2B8"/>
              <w:right w:val="single" w:sz="4" w:space="0" w:color="C8C2B8"/>
            </w:tcBorders>
            <w:shd w:fill="FFFFFF" w:val="clear"/>
            <w:tcMar>
              <w:top w:w="50" w:type="dxa"/>
              <w:bottom w:w="50" w:type="dxa"/>
            </w:tcMar>
            <w:vAlign w:val="center"/>
          </w:tcPr>
          <w:p>
            <w:pPr>
              <w:pStyle w:val="Normal"/>
              <w:widowControl w:val="false"/>
              <w:spacing w:before="0" w:after="0"/>
              <w:rPr/>
            </w:pPr>
            <w:r>
              <w:rPr>
                <w:rFonts w:eastAsia="Calibri" w:cs="Calibri"/>
                <w:b w:val="false"/>
                <w:i w:val="false"/>
                <w:sz w:val="20"/>
              </w:rPr>
              <w:t>Name</w:t>
            </w:r>
          </w:p>
        </w:tc>
        <w:tc>
          <w:tcPr>
            <w:tcW w:w="4679" w:type="dxa"/>
            <w:tcBorders>
              <w:top w:val="single" w:sz="4" w:space="0" w:color="C8C2B8"/>
              <w:left w:val="single" w:sz="4" w:space="0" w:color="C8C2B8"/>
              <w:bottom w:val="single" w:sz="4" w:space="0" w:color="C8C2B8"/>
              <w:right w:val="single" w:sz="4" w:space="0" w:color="C8C2B8"/>
            </w:tcBorders>
            <w:shd w:fill="FFFFFF" w:val="clear"/>
            <w:tcMar>
              <w:top w:w="50" w:type="dxa"/>
              <w:bottom w:w="50" w:type="dxa"/>
            </w:tcMar>
            <w:vAlign w:val="center"/>
          </w:tcPr>
          <w:p>
            <w:pPr>
              <w:pStyle w:val="Normal"/>
              <w:widowControl w:val="false"/>
              <w:spacing w:before="0" w:after="0"/>
              <w:rPr/>
            </w:pPr>
            <w:r>
              <w:rPr>
                <w:rFonts w:eastAsia="Calibri" w:cs="Calibri"/>
                <w:b w:val="false"/>
                <w:i w:val="false"/>
                <w:sz w:val="20"/>
              </w:rPr>
              <w:t>Phoenix Token</w:t>
            </w:r>
          </w:p>
        </w:tc>
      </w:tr>
      <w:tr>
        <w:trPr>
          <w:cantSplit w:val="true"/>
        </w:trPr>
        <w:tc>
          <w:tcPr>
            <w:tcW w:w="4680" w:type="dxa"/>
            <w:tcBorders>
              <w:top w:val="single" w:sz="4" w:space="0" w:color="C8C2B8"/>
              <w:left w:val="single" w:sz="4" w:space="0" w:color="C8C2B8"/>
              <w:bottom w:val="single" w:sz="4" w:space="0" w:color="C8C2B8"/>
              <w:right w:val="single" w:sz="4" w:space="0" w:color="C8C2B8"/>
            </w:tcBorders>
            <w:shd w:fill="F4F1EC" w:val="clear"/>
            <w:tcMar>
              <w:top w:w="50" w:type="dxa"/>
              <w:bottom w:w="50" w:type="dxa"/>
            </w:tcMar>
            <w:vAlign w:val="center"/>
          </w:tcPr>
          <w:p>
            <w:pPr>
              <w:pStyle w:val="Normal"/>
              <w:widowControl w:val="false"/>
              <w:spacing w:before="0" w:after="0"/>
              <w:rPr/>
            </w:pPr>
            <w:r>
              <w:rPr>
                <w:rFonts w:eastAsia="Calibri" w:cs="Calibri"/>
                <w:b w:val="false"/>
                <w:i w:val="false"/>
                <w:sz w:val="20"/>
              </w:rPr>
              <w:t>Symbol</w:t>
            </w:r>
          </w:p>
        </w:tc>
        <w:tc>
          <w:tcPr>
            <w:tcW w:w="4679" w:type="dxa"/>
            <w:tcBorders>
              <w:top w:val="single" w:sz="4" w:space="0" w:color="C8C2B8"/>
              <w:left w:val="single" w:sz="4" w:space="0" w:color="C8C2B8"/>
              <w:bottom w:val="single" w:sz="4" w:space="0" w:color="C8C2B8"/>
              <w:right w:val="single" w:sz="4" w:space="0" w:color="C8C2B8"/>
            </w:tcBorders>
            <w:shd w:fill="F4F1EC" w:val="clear"/>
            <w:tcMar>
              <w:top w:w="50" w:type="dxa"/>
              <w:bottom w:w="50" w:type="dxa"/>
            </w:tcMar>
            <w:vAlign w:val="center"/>
          </w:tcPr>
          <w:p>
            <w:pPr>
              <w:pStyle w:val="Normal"/>
              <w:widowControl w:val="false"/>
              <w:spacing w:before="0" w:after="0"/>
              <w:rPr/>
            </w:pPr>
            <w:r>
              <w:rPr>
                <w:rFonts w:eastAsia="Calibri" w:cs="Calibri"/>
                <w:b w:val="false"/>
                <w:i w:val="false"/>
                <w:sz w:val="20"/>
              </w:rPr>
              <w:t>PXT</w:t>
            </w:r>
          </w:p>
        </w:tc>
      </w:tr>
      <w:tr>
        <w:trPr>
          <w:cantSplit w:val="true"/>
        </w:trPr>
        <w:tc>
          <w:tcPr>
            <w:tcW w:w="4680" w:type="dxa"/>
            <w:tcBorders>
              <w:top w:val="single" w:sz="4" w:space="0" w:color="C8C2B8"/>
              <w:left w:val="single" w:sz="4" w:space="0" w:color="C8C2B8"/>
              <w:bottom w:val="single" w:sz="4" w:space="0" w:color="C8C2B8"/>
              <w:right w:val="single" w:sz="4" w:space="0" w:color="C8C2B8"/>
            </w:tcBorders>
            <w:shd w:fill="FFFFFF" w:val="clear"/>
            <w:tcMar>
              <w:top w:w="50" w:type="dxa"/>
              <w:bottom w:w="50" w:type="dxa"/>
            </w:tcMar>
            <w:vAlign w:val="center"/>
          </w:tcPr>
          <w:p>
            <w:pPr>
              <w:pStyle w:val="Normal"/>
              <w:widowControl w:val="false"/>
              <w:spacing w:before="0" w:after="0"/>
              <w:rPr/>
            </w:pPr>
            <w:r>
              <w:rPr>
                <w:rFonts w:eastAsia="Calibri" w:cs="Calibri"/>
                <w:b w:val="false"/>
                <w:i w:val="false"/>
                <w:sz w:val="20"/>
              </w:rPr>
              <w:t>Type</w:t>
            </w:r>
          </w:p>
        </w:tc>
        <w:tc>
          <w:tcPr>
            <w:tcW w:w="4679" w:type="dxa"/>
            <w:tcBorders>
              <w:top w:val="single" w:sz="4" w:space="0" w:color="C8C2B8"/>
              <w:left w:val="single" w:sz="4" w:space="0" w:color="C8C2B8"/>
              <w:bottom w:val="single" w:sz="4" w:space="0" w:color="C8C2B8"/>
              <w:right w:val="single" w:sz="4" w:space="0" w:color="C8C2B8"/>
            </w:tcBorders>
            <w:shd w:fill="FFFFFF" w:val="clear"/>
            <w:tcMar>
              <w:top w:w="50" w:type="dxa"/>
              <w:bottom w:w="50" w:type="dxa"/>
            </w:tcMar>
            <w:vAlign w:val="center"/>
          </w:tcPr>
          <w:p>
            <w:pPr>
              <w:pStyle w:val="Normal"/>
              <w:widowControl w:val="false"/>
              <w:spacing w:before="0" w:after="0"/>
              <w:rPr/>
            </w:pPr>
            <w:r>
              <w:rPr>
                <w:rFonts w:eastAsia="Calibri" w:cs="Calibri"/>
                <w:b w:val="false"/>
                <w:i w:val="false"/>
                <w:sz w:val="20"/>
              </w:rPr>
              <w:t>Utility token (ERC-20)</w:t>
            </w:r>
          </w:p>
        </w:tc>
      </w:tr>
      <w:tr>
        <w:trPr>
          <w:cantSplit w:val="true"/>
        </w:trPr>
        <w:tc>
          <w:tcPr>
            <w:tcW w:w="4680" w:type="dxa"/>
            <w:tcBorders>
              <w:top w:val="single" w:sz="4" w:space="0" w:color="C8C2B8"/>
              <w:left w:val="single" w:sz="4" w:space="0" w:color="C8C2B8"/>
              <w:bottom w:val="single" w:sz="4" w:space="0" w:color="C8C2B8"/>
              <w:right w:val="single" w:sz="4" w:space="0" w:color="C8C2B8"/>
            </w:tcBorders>
            <w:shd w:fill="F4F1EC" w:val="clear"/>
            <w:tcMar>
              <w:top w:w="50" w:type="dxa"/>
              <w:bottom w:w="50" w:type="dxa"/>
            </w:tcMar>
            <w:vAlign w:val="center"/>
          </w:tcPr>
          <w:p>
            <w:pPr>
              <w:pStyle w:val="Normal"/>
              <w:widowControl w:val="false"/>
              <w:spacing w:before="0" w:after="0"/>
              <w:rPr/>
            </w:pPr>
            <w:r>
              <w:rPr>
                <w:rFonts w:eastAsia="Calibri" w:cs="Calibri"/>
                <w:b w:val="false"/>
                <w:i w:val="false"/>
                <w:sz w:val="20"/>
              </w:rPr>
              <w:t>Decimals</w:t>
            </w:r>
          </w:p>
        </w:tc>
        <w:tc>
          <w:tcPr>
            <w:tcW w:w="4679" w:type="dxa"/>
            <w:tcBorders>
              <w:top w:val="single" w:sz="4" w:space="0" w:color="C8C2B8"/>
              <w:left w:val="single" w:sz="4" w:space="0" w:color="C8C2B8"/>
              <w:bottom w:val="single" w:sz="4" w:space="0" w:color="C8C2B8"/>
              <w:right w:val="single" w:sz="4" w:space="0" w:color="C8C2B8"/>
            </w:tcBorders>
            <w:shd w:fill="F4F1EC" w:val="clear"/>
            <w:tcMar>
              <w:top w:w="50" w:type="dxa"/>
              <w:bottom w:w="50" w:type="dxa"/>
            </w:tcMar>
            <w:vAlign w:val="center"/>
          </w:tcPr>
          <w:p>
            <w:pPr>
              <w:pStyle w:val="Normal"/>
              <w:widowControl w:val="false"/>
              <w:spacing w:before="0" w:after="0"/>
              <w:rPr/>
            </w:pPr>
            <w:r>
              <w:rPr>
                <w:rFonts w:eastAsia="Calibri" w:cs="Calibri"/>
                <w:b w:val="false"/>
                <w:i w:val="false"/>
                <w:sz w:val="20"/>
              </w:rPr>
              <w:t>6</w:t>
            </w:r>
          </w:p>
        </w:tc>
      </w:tr>
      <w:tr>
        <w:trPr>
          <w:cantSplit w:val="true"/>
        </w:trPr>
        <w:tc>
          <w:tcPr>
            <w:tcW w:w="4680" w:type="dxa"/>
            <w:tcBorders>
              <w:top w:val="single" w:sz="4" w:space="0" w:color="C8C2B8"/>
              <w:left w:val="single" w:sz="4" w:space="0" w:color="C8C2B8"/>
              <w:bottom w:val="single" w:sz="4" w:space="0" w:color="C8C2B8"/>
              <w:right w:val="single" w:sz="4" w:space="0" w:color="C8C2B8"/>
            </w:tcBorders>
            <w:shd w:fill="FFFFFF" w:val="clear"/>
            <w:tcMar>
              <w:top w:w="50" w:type="dxa"/>
              <w:bottom w:w="50" w:type="dxa"/>
            </w:tcMar>
            <w:vAlign w:val="center"/>
          </w:tcPr>
          <w:p>
            <w:pPr>
              <w:pStyle w:val="Normal"/>
              <w:widowControl w:val="false"/>
              <w:spacing w:before="0" w:after="0"/>
              <w:rPr/>
            </w:pPr>
            <w:r>
              <w:rPr>
                <w:rFonts w:eastAsia="Calibri" w:cs="Calibri"/>
                <w:b w:val="false"/>
                <w:i w:val="false"/>
                <w:sz w:val="20"/>
              </w:rPr>
              <w:t>Total supply</w:t>
            </w:r>
          </w:p>
        </w:tc>
        <w:tc>
          <w:tcPr>
            <w:tcW w:w="4679" w:type="dxa"/>
            <w:tcBorders>
              <w:top w:val="single" w:sz="4" w:space="0" w:color="C8C2B8"/>
              <w:left w:val="single" w:sz="4" w:space="0" w:color="C8C2B8"/>
              <w:bottom w:val="single" w:sz="4" w:space="0" w:color="C8C2B8"/>
              <w:right w:val="single" w:sz="4" w:space="0" w:color="C8C2B8"/>
            </w:tcBorders>
            <w:shd w:fill="FFFFFF" w:val="clear"/>
            <w:tcMar>
              <w:top w:w="50" w:type="dxa"/>
              <w:bottom w:w="50" w:type="dxa"/>
            </w:tcMar>
            <w:vAlign w:val="center"/>
          </w:tcPr>
          <w:p>
            <w:pPr>
              <w:pStyle w:val="Normal"/>
              <w:widowControl w:val="false"/>
              <w:spacing w:before="0" w:after="0"/>
              <w:rPr/>
            </w:pPr>
            <w:r>
              <w:rPr>
                <w:rFonts w:eastAsia="Calibri" w:cs="Calibri"/>
                <w:b w:val="false"/>
                <w:i w:val="false"/>
                <w:sz w:val="20"/>
              </w:rPr>
              <w:t>40,021,000,000,000 PXT (fixed)</w:t>
            </w:r>
          </w:p>
        </w:tc>
      </w:tr>
      <w:tr>
        <w:trPr>
          <w:cantSplit w:val="true"/>
        </w:trPr>
        <w:tc>
          <w:tcPr>
            <w:tcW w:w="4680" w:type="dxa"/>
            <w:tcBorders>
              <w:top w:val="single" w:sz="4" w:space="0" w:color="C8C2B8"/>
              <w:left w:val="single" w:sz="4" w:space="0" w:color="C8C2B8"/>
              <w:bottom w:val="single" w:sz="4" w:space="0" w:color="C8C2B8"/>
              <w:right w:val="single" w:sz="4" w:space="0" w:color="C8C2B8"/>
            </w:tcBorders>
            <w:shd w:fill="F4F1EC" w:val="clear"/>
            <w:tcMar>
              <w:top w:w="50" w:type="dxa"/>
              <w:bottom w:w="50" w:type="dxa"/>
            </w:tcMar>
            <w:vAlign w:val="center"/>
          </w:tcPr>
          <w:p>
            <w:pPr>
              <w:pStyle w:val="Normal"/>
              <w:widowControl w:val="false"/>
              <w:spacing w:before="0" w:after="0"/>
              <w:rPr/>
            </w:pPr>
            <w:r>
              <w:rPr>
                <w:rFonts w:eastAsia="Calibri" w:cs="Calibri"/>
                <w:b w:val="false"/>
                <w:i w:val="false"/>
                <w:sz w:val="20"/>
              </w:rPr>
              <w:t>Network</w:t>
            </w:r>
          </w:p>
        </w:tc>
        <w:tc>
          <w:tcPr>
            <w:tcW w:w="4679" w:type="dxa"/>
            <w:tcBorders>
              <w:top w:val="single" w:sz="4" w:space="0" w:color="C8C2B8"/>
              <w:left w:val="single" w:sz="4" w:space="0" w:color="C8C2B8"/>
              <w:bottom w:val="single" w:sz="4" w:space="0" w:color="C8C2B8"/>
              <w:right w:val="single" w:sz="4" w:space="0" w:color="C8C2B8"/>
            </w:tcBorders>
            <w:shd w:fill="F4F1EC" w:val="clear"/>
            <w:tcMar>
              <w:top w:w="50" w:type="dxa"/>
              <w:bottom w:w="50" w:type="dxa"/>
            </w:tcMar>
            <w:vAlign w:val="center"/>
          </w:tcPr>
          <w:p>
            <w:pPr>
              <w:pStyle w:val="Normal"/>
              <w:widowControl w:val="false"/>
              <w:spacing w:before="0" w:after="0"/>
              <w:rPr/>
            </w:pPr>
            <w:r>
              <w:rPr>
                <w:rFonts w:eastAsia="Calibri" w:cs="Calibri"/>
                <w:b w:val="false"/>
                <w:i w:val="false"/>
                <w:sz w:val="20"/>
              </w:rPr>
              <w:t>Base</w:t>
            </w:r>
          </w:p>
        </w:tc>
      </w:tr>
      <w:tr>
        <w:trPr>
          <w:cantSplit w:val="true"/>
        </w:trPr>
        <w:tc>
          <w:tcPr>
            <w:tcW w:w="4680" w:type="dxa"/>
            <w:tcBorders>
              <w:top w:val="single" w:sz="4" w:space="0" w:color="C8C2B8"/>
              <w:left w:val="single" w:sz="4" w:space="0" w:color="C8C2B8"/>
              <w:bottom w:val="single" w:sz="4" w:space="0" w:color="C8C2B8"/>
              <w:right w:val="single" w:sz="4" w:space="0" w:color="C8C2B8"/>
            </w:tcBorders>
            <w:shd w:fill="FFFFFF" w:val="clear"/>
            <w:tcMar>
              <w:top w:w="50" w:type="dxa"/>
              <w:bottom w:w="50" w:type="dxa"/>
            </w:tcMar>
            <w:vAlign w:val="center"/>
          </w:tcPr>
          <w:p>
            <w:pPr>
              <w:pStyle w:val="Normal"/>
              <w:widowControl w:val="false"/>
              <w:spacing w:before="0" w:after="0"/>
              <w:rPr/>
            </w:pPr>
            <w:r>
              <w:rPr>
                <w:rFonts w:eastAsia="Calibri" w:cs="Calibri"/>
                <w:b w:val="false"/>
                <w:i w:val="false"/>
                <w:sz w:val="20"/>
              </w:rPr>
              <w:t>Token contract</w:t>
            </w:r>
          </w:p>
        </w:tc>
        <w:tc>
          <w:tcPr>
            <w:tcW w:w="4679" w:type="dxa"/>
            <w:tcBorders>
              <w:top w:val="single" w:sz="4" w:space="0" w:color="C8C2B8"/>
              <w:left w:val="single" w:sz="4" w:space="0" w:color="C8C2B8"/>
              <w:bottom w:val="single" w:sz="4" w:space="0" w:color="C8C2B8"/>
              <w:right w:val="single" w:sz="4" w:space="0" w:color="C8C2B8"/>
            </w:tcBorders>
            <w:shd w:fill="FFFFFF" w:val="clear"/>
            <w:tcMar>
              <w:top w:w="50" w:type="dxa"/>
              <w:bottom w:w="50" w:type="dxa"/>
            </w:tcMar>
            <w:vAlign w:val="center"/>
          </w:tcPr>
          <w:p>
            <w:pPr>
              <w:pStyle w:val="Normal"/>
              <w:widowControl w:val="false"/>
              <w:spacing w:before="0" w:after="0"/>
              <w:rPr/>
            </w:pPr>
            <w:hyperlink r:id="rId3">
              <w:r>
                <w:rPr>
                  <w:rFonts w:cs="Consolas" w:ascii="Consolas" w:hAnsi="Consolas"/>
                  <w:color w:val="0563C1"/>
                  <w:sz w:val="18"/>
                  <w:szCs w:val="18"/>
                  <w:u w:val="single"/>
                </w:rPr>
                <w:t>0xD0Ae953BE8E2E41406D3d5fE8b191441C2277B19</w:t>
              </w:r>
            </w:hyperlink>
          </w:p>
        </w:tc>
      </w:tr>
      <w:tr>
        <w:trPr>
          <w:cantSplit w:val="true"/>
        </w:trPr>
        <w:tc>
          <w:tcPr>
            <w:tcW w:w="4680" w:type="dxa"/>
            <w:tcBorders>
              <w:top w:val="single" w:sz="4" w:space="0" w:color="C8C2B8"/>
              <w:left w:val="single" w:sz="4" w:space="0" w:color="C8C2B8"/>
              <w:bottom w:val="single" w:sz="4" w:space="0" w:color="C8C2B8"/>
              <w:right w:val="single" w:sz="4" w:space="0" w:color="C8C2B8"/>
            </w:tcBorders>
            <w:shd w:fill="F4F1EC" w:val="clear"/>
            <w:tcMar>
              <w:top w:w="50" w:type="dxa"/>
              <w:bottom w:w="50" w:type="dxa"/>
            </w:tcMar>
            <w:vAlign w:val="center"/>
          </w:tcPr>
          <w:p>
            <w:pPr>
              <w:pStyle w:val="Normal"/>
              <w:widowControl w:val="false"/>
              <w:spacing w:before="0" w:after="0"/>
              <w:rPr/>
            </w:pPr>
            <w:r>
              <w:rPr>
                <w:rFonts w:eastAsia="Calibri" w:cs="Calibri"/>
                <w:b w:val="false"/>
                <w:i w:val="false"/>
                <w:sz w:val="20"/>
              </w:rPr>
              <w:t>Paired with</w:t>
            </w:r>
          </w:p>
        </w:tc>
        <w:tc>
          <w:tcPr>
            <w:tcW w:w="4679" w:type="dxa"/>
            <w:tcBorders>
              <w:top w:val="single" w:sz="4" w:space="0" w:color="C8C2B8"/>
              <w:left w:val="single" w:sz="4" w:space="0" w:color="C8C2B8"/>
              <w:bottom w:val="single" w:sz="4" w:space="0" w:color="C8C2B8"/>
              <w:right w:val="single" w:sz="4" w:space="0" w:color="C8C2B8"/>
            </w:tcBorders>
            <w:shd w:fill="F4F1EC" w:val="clear"/>
            <w:tcMar>
              <w:top w:w="50" w:type="dxa"/>
              <w:bottom w:w="50" w:type="dxa"/>
            </w:tcMar>
            <w:vAlign w:val="center"/>
          </w:tcPr>
          <w:p>
            <w:pPr>
              <w:pStyle w:val="Normal"/>
              <w:widowControl w:val="false"/>
              <w:spacing w:before="0" w:after="0"/>
              <w:rPr/>
            </w:pPr>
            <w:hyperlink r:id="rId4">
              <w:r>
                <w:rPr>
                  <w:rFonts w:cs="Consolas" w:ascii="Consolas" w:hAnsi="Consolas"/>
                  <w:color w:val="0563C1"/>
                  <w:sz w:val="18"/>
                  <w:szCs w:val="18"/>
                  <w:u w:val="single"/>
                </w:rPr>
                <w:t>USDC  0x833589fCD6eDb6E08f4c7C32D4f71b54bdA02913</w:t>
              </w:r>
            </w:hyperlink>
          </w:p>
        </w:tc>
      </w:tr>
    </w:tbl>
    <w:p>
      <w:pPr>
        <w:pStyle w:val="Normal"/>
        <w:spacing w:before="0" w:after="160"/>
        <w:rPr/>
      </w:pPr>
      <w:r>
        <w:rPr/>
      </w:r>
    </w:p>
    <w:p>
      <w:pPr>
        <w:pStyle w:val="Normal"/>
        <w:spacing w:lineRule="auto" w:line="276" w:before="0" w:after="160"/>
        <w:rPr/>
      </w:pPr>
      <w:r>
        <w:rPr>
          <w:rFonts w:eastAsia="Calibri" w:cs="Calibri"/>
          <w:b w:val="false"/>
          <w:i w:val="false"/>
          <w:sz w:val="22"/>
        </w:rPr>
        <w:t>The full supply was created at launch. Donation and marketing addresses cannot be changed. Contract ownership has been renounced.</w:t>
      </w:r>
    </w:p>
    <w:p>
      <w:pPr>
        <w:pStyle w:val="Heading1"/>
        <w:rPr/>
      </w:pPr>
      <w:r>
        <w:rPr/>
        <w:t>4. How the token is traded</w:t>
      </w:r>
    </w:p>
    <w:p>
      <w:pPr>
        <w:pStyle w:val="Normal"/>
        <w:spacing w:lineRule="auto" w:line="276" w:before="0" w:after="160"/>
        <w:rPr/>
      </w:pPr>
      <w:r>
        <w:rPr>
          <w:rFonts w:eastAsia="Calibri" w:cs="Calibri"/>
          <w:b w:val="false"/>
          <w:i w:val="false"/>
          <w:sz w:val="22"/>
        </w:rPr>
        <w:t>Users swap through the official Uniswap v4 PXT/USDC pool. A Phoenix hook on that pool applies buy and sell fees. Collected USDC goes to a fee collector, which pays donations and marketing, burns PXT when required, and can buy PXT back into the pool.</w:t>
      </w:r>
    </w:p>
    <w:tbl>
      <w:tblPr>
        <w:tblW w:w="9360" w:type="dxa"/>
        <w:jc w:val="center"/>
        <w:tblInd w:w="0" w:type="dxa"/>
        <w:tblLayout w:type="fixed"/>
        <w:tblCellMar>
          <w:top w:w="60" w:type="dxa"/>
          <w:left w:w="80" w:type="dxa"/>
          <w:bottom w:w="60" w:type="dxa"/>
          <w:right w:w="80" w:type="dxa"/>
        </w:tblCellMar>
        <w:tblLook w:val="04a0" w:noHBand="0" w:noVBand="1" w:firstColumn="1" w:lastRow="0" w:lastColumn="0" w:firstRow="1"/>
      </w:tblPr>
      <w:tblGrid>
        <w:gridCol w:w="4680"/>
        <w:gridCol w:w="4679"/>
      </w:tblGrid>
      <w:tr>
        <w:trPr>
          <w:cantSplit w:val="true"/>
        </w:trPr>
        <w:tc>
          <w:tcPr>
            <w:tcW w:w="4680" w:type="dxa"/>
            <w:tcBorders>
              <w:top w:val="single" w:sz="4" w:space="0" w:color="1A2B4A"/>
              <w:left w:val="single" w:sz="4" w:space="0" w:color="1A2B4A"/>
              <w:bottom w:val="single" w:sz="4" w:space="0" w:color="1A2B4A"/>
              <w:right w:val="single" w:sz="4" w:space="0" w:color="1A2B4A"/>
            </w:tcBorders>
            <w:shd w:fill="1A2B4A" w:val="clear"/>
            <w:vAlign w:val="center"/>
          </w:tcPr>
          <w:p>
            <w:pPr>
              <w:pStyle w:val="Normal"/>
              <w:widowControl w:val="false"/>
              <w:spacing w:before="0" w:after="0"/>
              <w:rPr/>
            </w:pPr>
            <w:r>
              <w:rPr>
                <w:rFonts w:eastAsia="Calibri" w:cs="Calibri"/>
                <w:b/>
                <w:i w:val="false"/>
                <w:color w:val="FFFFFF"/>
                <w:sz w:val="20"/>
              </w:rPr>
              <w:t>Contract</w:t>
            </w:r>
          </w:p>
        </w:tc>
        <w:tc>
          <w:tcPr>
            <w:tcW w:w="4679" w:type="dxa"/>
            <w:tcBorders>
              <w:top w:val="single" w:sz="4" w:space="0" w:color="1A2B4A"/>
              <w:left w:val="single" w:sz="4" w:space="0" w:color="1A2B4A"/>
              <w:bottom w:val="single" w:sz="4" w:space="0" w:color="1A2B4A"/>
              <w:right w:val="single" w:sz="4" w:space="0" w:color="1A2B4A"/>
            </w:tcBorders>
            <w:shd w:fill="1A2B4A" w:val="clear"/>
            <w:vAlign w:val="center"/>
          </w:tcPr>
          <w:p>
            <w:pPr>
              <w:pStyle w:val="Normal"/>
              <w:widowControl w:val="false"/>
              <w:spacing w:before="0" w:after="0"/>
              <w:rPr/>
            </w:pPr>
            <w:r>
              <w:rPr>
                <w:rFonts w:eastAsia="Calibri" w:cs="Calibri"/>
                <w:b/>
                <w:i w:val="false"/>
                <w:color w:val="FFFFFF"/>
                <w:sz w:val="20"/>
              </w:rPr>
              <w:t>Address</w:t>
            </w:r>
          </w:p>
        </w:tc>
      </w:tr>
      <w:tr>
        <w:trPr>
          <w:cantSplit w:val="true"/>
        </w:trPr>
        <w:tc>
          <w:tcPr>
            <w:tcW w:w="4680" w:type="dxa"/>
            <w:tcBorders>
              <w:top w:val="single" w:sz="4" w:space="0" w:color="C8C2B8"/>
              <w:left w:val="single" w:sz="4" w:space="0" w:color="C8C2B8"/>
              <w:bottom w:val="single" w:sz="4" w:space="0" w:color="C8C2B8"/>
              <w:right w:val="single" w:sz="4" w:space="0" w:color="C8C2B8"/>
            </w:tcBorders>
            <w:shd w:fill="FFFFFF" w:val="clear"/>
            <w:tcMar>
              <w:top w:w="50" w:type="dxa"/>
              <w:bottom w:w="50" w:type="dxa"/>
            </w:tcMar>
            <w:vAlign w:val="center"/>
          </w:tcPr>
          <w:p>
            <w:pPr>
              <w:pStyle w:val="Normal"/>
              <w:widowControl w:val="false"/>
              <w:spacing w:before="0" w:after="0"/>
              <w:rPr/>
            </w:pPr>
            <w:r>
              <w:rPr>
                <w:rFonts w:eastAsia="Calibri" w:cs="Calibri"/>
                <w:b w:val="false"/>
                <w:i w:val="false"/>
                <w:sz w:val="20"/>
              </w:rPr>
              <w:t>PXT</w:t>
            </w:r>
          </w:p>
        </w:tc>
        <w:tc>
          <w:tcPr>
            <w:tcW w:w="4679" w:type="dxa"/>
            <w:tcBorders>
              <w:top w:val="single" w:sz="4" w:space="0" w:color="C8C2B8"/>
              <w:left w:val="single" w:sz="4" w:space="0" w:color="C8C2B8"/>
              <w:bottom w:val="single" w:sz="4" w:space="0" w:color="C8C2B8"/>
              <w:right w:val="single" w:sz="4" w:space="0" w:color="C8C2B8"/>
            </w:tcBorders>
            <w:shd w:fill="FFFFFF" w:val="clear"/>
            <w:tcMar>
              <w:top w:w="50" w:type="dxa"/>
              <w:bottom w:w="50" w:type="dxa"/>
            </w:tcMar>
            <w:vAlign w:val="center"/>
          </w:tcPr>
          <w:p>
            <w:pPr>
              <w:pStyle w:val="Normal"/>
              <w:widowControl w:val="false"/>
              <w:spacing w:before="0" w:after="0"/>
              <w:rPr/>
            </w:pPr>
            <w:hyperlink r:id="rId5">
              <w:r>
                <w:rPr>
                  <w:rFonts w:cs="Consolas" w:ascii="Consolas" w:hAnsi="Consolas"/>
                  <w:color w:val="0563C1"/>
                  <w:sz w:val="18"/>
                  <w:szCs w:val="18"/>
                  <w:u w:val="single"/>
                </w:rPr>
                <w:t>0xD0Ae953BE8E2E41406D3d5fE8b191441C2277B19</w:t>
              </w:r>
            </w:hyperlink>
          </w:p>
        </w:tc>
      </w:tr>
      <w:tr>
        <w:trPr>
          <w:cantSplit w:val="true"/>
        </w:trPr>
        <w:tc>
          <w:tcPr>
            <w:tcW w:w="4680" w:type="dxa"/>
            <w:tcBorders>
              <w:top w:val="single" w:sz="4" w:space="0" w:color="C8C2B8"/>
              <w:left w:val="single" w:sz="4" w:space="0" w:color="C8C2B8"/>
              <w:bottom w:val="single" w:sz="4" w:space="0" w:color="C8C2B8"/>
              <w:right w:val="single" w:sz="4" w:space="0" w:color="C8C2B8"/>
            </w:tcBorders>
            <w:shd w:fill="F4F1EC" w:val="clear"/>
            <w:tcMar>
              <w:top w:w="50" w:type="dxa"/>
              <w:bottom w:w="50" w:type="dxa"/>
            </w:tcMar>
            <w:vAlign w:val="center"/>
          </w:tcPr>
          <w:p>
            <w:pPr>
              <w:pStyle w:val="Normal"/>
              <w:widowControl w:val="false"/>
              <w:spacing w:before="0" w:after="0"/>
              <w:rPr/>
            </w:pPr>
            <w:r>
              <w:rPr>
                <w:rFonts w:eastAsia="Calibri" w:cs="Calibri"/>
                <w:b w:val="false"/>
                <w:i w:val="false"/>
                <w:sz w:val="20"/>
              </w:rPr>
              <w:t>Trading hook</w:t>
            </w:r>
          </w:p>
        </w:tc>
        <w:tc>
          <w:tcPr>
            <w:tcW w:w="4679" w:type="dxa"/>
            <w:tcBorders>
              <w:top w:val="single" w:sz="4" w:space="0" w:color="C8C2B8"/>
              <w:left w:val="single" w:sz="4" w:space="0" w:color="C8C2B8"/>
              <w:bottom w:val="single" w:sz="4" w:space="0" w:color="C8C2B8"/>
              <w:right w:val="single" w:sz="4" w:space="0" w:color="C8C2B8"/>
            </w:tcBorders>
            <w:shd w:fill="F4F1EC" w:val="clear"/>
            <w:tcMar>
              <w:top w:w="50" w:type="dxa"/>
              <w:bottom w:w="50" w:type="dxa"/>
            </w:tcMar>
            <w:vAlign w:val="center"/>
          </w:tcPr>
          <w:p>
            <w:pPr>
              <w:pStyle w:val="Normal"/>
              <w:widowControl w:val="false"/>
              <w:spacing w:before="0" w:after="0"/>
              <w:rPr/>
            </w:pPr>
            <w:hyperlink r:id="rId6">
              <w:r>
                <w:rPr>
                  <w:rFonts w:cs="Consolas" w:ascii="Consolas" w:hAnsi="Consolas"/>
                  <w:color w:val="0563C1"/>
                  <w:sz w:val="18"/>
                  <w:szCs w:val="18"/>
                  <w:u w:val="single"/>
                </w:rPr>
                <w:t>0xa36587Df6533adafA569e4EEeA326C6FbDECCCcC</w:t>
              </w:r>
            </w:hyperlink>
          </w:p>
        </w:tc>
      </w:tr>
      <w:tr>
        <w:trPr>
          <w:cantSplit w:val="true"/>
        </w:trPr>
        <w:tc>
          <w:tcPr>
            <w:tcW w:w="4680" w:type="dxa"/>
            <w:tcBorders>
              <w:top w:val="single" w:sz="4" w:space="0" w:color="C8C2B8"/>
              <w:left w:val="single" w:sz="4" w:space="0" w:color="C8C2B8"/>
              <w:bottom w:val="single" w:sz="4" w:space="0" w:color="C8C2B8"/>
              <w:right w:val="single" w:sz="4" w:space="0" w:color="C8C2B8"/>
            </w:tcBorders>
            <w:shd w:fill="FFFFFF" w:val="clear"/>
            <w:tcMar>
              <w:top w:w="50" w:type="dxa"/>
              <w:bottom w:w="50" w:type="dxa"/>
            </w:tcMar>
            <w:vAlign w:val="center"/>
          </w:tcPr>
          <w:p>
            <w:pPr>
              <w:pStyle w:val="Normal"/>
              <w:widowControl w:val="false"/>
              <w:spacing w:before="0" w:after="0"/>
              <w:rPr/>
            </w:pPr>
            <w:r>
              <w:rPr>
                <w:rFonts w:eastAsia="Calibri" w:cs="Calibri"/>
                <w:b w:val="false"/>
                <w:i w:val="false"/>
                <w:sz w:val="20"/>
              </w:rPr>
              <w:t>Fee collector</w:t>
            </w:r>
          </w:p>
        </w:tc>
        <w:tc>
          <w:tcPr>
            <w:tcW w:w="4679" w:type="dxa"/>
            <w:tcBorders>
              <w:top w:val="single" w:sz="4" w:space="0" w:color="C8C2B8"/>
              <w:left w:val="single" w:sz="4" w:space="0" w:color="C8C2B8"/>
              <w:bottom w:val="single" w:sz="4" w:space="0" w:color="C8C2B8"/>
              <w:right w:val="single" w:sz="4" w:space="0" w:color="C8C2B8"/>
            </w:tcBorders>
            <w:shd w:fill="FFFFFF" w:val="clear"/>
            <w:tcMar>
              <w:top w:w="50" w:type="dxa"/>
              <w:bottom w:w="50" w:type="dxa"/>
            </w:tcMar>
            <w:vAlign w:val="center"/>
          </w:tcPr>
          <w:p>
            <w:pPr>
              <w:pStyle w:val="Normal"/>
              <w:widowControl w:val="false"/>
              <w:spacing w:before="0" w:after="0"/>
              <w:rPr/>
            </w:pPr>
            <w:hyperlink r:id="rId7">
              <w:r>
                <w:rPr>
                  <w:rFonts w:cs="Consolas" w:ascii="Consolas" w:hAnsi="Consolas"/>
                  <w:color w:val="0563C1"/>
                  <w:sz w:val="18"/>
                  <w:szCs w:val="18"/>
                  <w:u w:val="single"/>
                </w:rPr>
                <w:t>0xe8dE2fF2e6b45dE1159456fe42385C0958d2F635</w:t>
              </w:r>
            </w:hyperlink>
          </w:p>
        </w:tc>
      </w:tr>
      <w:tr>
        <w:trPr>
          <w:cantSplit w:val="true"/>
        </w:trPr>
        <w:tc>
          <w:tcPr>
            <w:tcW w:w="4680" w:type="dxa"/>
            <w:tcBorders>
              <w:top w:val="single" w:sz="4" w:space="0" w:color="C8C2B8"/>
              <w:left w:val="single" w:sz="4" w:space="0" w:color="C8C2B8"/>
              <w:bottom w:val="single" w:sz="4" w:space="0" w:color="C8C2B8"/>
              <w:right w:val="single" w:sz="4" w:space="0" w:color="C8C2B8"/>
            </w:tcBorders>
            <w:shd w:fill="F4F1EC" w:val="clear"/>
            <w:tcMar>
              <w:top w:w="50" w:type="dxa"/>
              <w:bottom w:w="50" w:type="dxa"/>
            </w:tcMar>
            <w:vAlign w:val="center"/>
          </w:tcPr>
          <w:p>
            <w:pPr>
              <w:pStyle w:val="Normal"/>
              <w:widowControl w:val="false"/>
              <w:spacing w:before="0" w:after="0"/>
              <w:rPr/>
            </w:pPr>
            <w:r>
              <w:rPr>
                <w:rFonts w:eastAsia="Calibri" w:cs="Calibri"/>
                <w:b w:val="false"/>
                <w:i w:val="false"/>
                <w:sz w:val="20"/>
              </w:rPr>
              <w:t>Donation wallet</w:t>
            </w:r>
          </w:p>
        </w:tc>
        <w:tc>
          <w:tcPr>
            <w:tcW w:w="4679" w:type="dxa"/>
            <w:tcBorders>
              <w:top w:val="single" w:sz="4" w:space="0" w:color="C8C2B8"/>
              <w:left w:val="single" w:sz="4" w:space="0" w:color="C8C2B8"/>
              <w:bottom w:val="single" w:sz="4" w:space="0" w:color="C8C2B8"/>
              <w:right w:val="single" w:sz="4" w:space="0" w:color="C8C2B8"/>
            </w:tcBorders>
            <w:shd w:fill="F4F1EC" w:val="clear"/>
            <w:tcMar>
              <w:top w:w="50" w:type="dxa"/>
              <w:bottom w:w="50" w:type="dxa"/>
            </w:tcMar>
            <w:vAlign w:val="center"/>
          </w:tcPr>
          <w:p>
            <w:pPr>
              <w:pStyle w:val="Normal"/>
              <w:widowControl w:val="false"/>
              <w:spacing w:before="0" w:after="0"/>
              <w:rPr/>
            </w:pPr>
            <w:hyperlink r:id="rId8">
              <w:r>
                <w:rPr>
                  <w:rFonts w:cs="Consolas" w:ascii="Consolas" w:hAnsi="Consolas"/>
                  <w:color w:val="0563C1"/>
                  <w:sz w:val="18"/>
                  <w:szCs w:val="18"/>
                  <w:u w:val="single"/>
                </w:rPr>
                <w:t>0xD7BD1df941F8f30b58179760Cf3323D018913E2b</w:t>
              </w:r>
            </w:hyperlink>
          </w:p>
        </w:tc>
      </w:tr>
      <w:tr>
        <w:trPr>
          <w:cantSplit w:val="true"/>
        </w:trPr>
        <w:tc>
          <w:tcPr>
            <w:tcW w:w="4680" w:type="dxa"/>
            <w:tcBorders>
              <w:top w:val="single" w:sz="4" w:space="0" w:color="C8C2B8"/>
              <w:left w:val="single" w:sz="4" w:space="0" w:color="C8C2B8"/>
              <w:bottom w:val="single" w:sz="4" w:space="0" w:color="C8C2B8"/>
              <w:right w:val="single" w:sz="4" w:space="0" w:color="C8C2B8"/>
            </w:tcBorders>
            <w:shd w:fill="FFFFFF" w:val="clear"/>
            <w:tcMar>
              <w:top w:w="50" w:type="dxa"/>
              <w:bottom w:w="50" w:type="dxa"/>
            </w:tcMar>
            <w:vAlign w:val="center"/>
          </w:tcPr>
          <w:p>
            <w:pPr>
              <w:pStyle w:val="Normal"/>
              <w:widowControl w:val="false"/>
              <w:spacing w:before="0" w:after="0"/>
              <w:rPr/>
            </w:pPr>
            <w:r>
              <w:rPr>
                <w:rFonts w:eastAsia="Calibri" w:cs="Calibri"/>
                <w:b w:val="false"/>
                <w:i w:val="false"/>
                <w:sz w:val="20"/>
              </w:rPr>
              <w:t>Marketing wallet</w:t>
            </w:r>
          </w:p>
        </w:tc>
        <w:tc>
          <w:tcPr>
            <w:tcW w:w="4679" w:type="dxa"/>
            <w:tcBorders>
              <w:top w:val="single" w:sz="4" w:space="0" w:color="C8C2B8"/>
              <w:left w:val="single" w:sz="4" w:space="0" w:color="C8C2B8"/>
              <w:bottom w:val="single" w:sz="4" w:space="0" w:color="C8C2B8"/>
              <w:right w:val="single" w:sz="4" w:space="0" w:color="C8C2B8"/>
            </w:tcBorders>
            <w:shd w:fill="FFFFFF" w:val="clear"/>
            <w:tcMar>
              <w:top w:w="50" w:type="dxa"/>
              <w:bottom w:w="50" w:type="dxa"/>
            </w:tcMar>
            <w:vAlign w:val="center"/>
          </w:tcPr>
          <w:p>
            <w:pPr>
              <w:pStyle w:val="Normal"/>
              <w:widowControl w:val="false"/>
              <w:spacing w:before="0" w:after="0"/>
              <w:rPr/>
            </w:pPr>
            <w:hyperlink r:id="rId9">
              <w:r>
                <w:rPr>
                  <w:rFonts w:cs="Consolas" w:ascii="Consolas" w:hAnsi="Consolas"/>
                  <w:color w:val="0563C1"/>
                  <w:sz w:val="18"/>
                  <w:szCs w:val="18"/>
                  <w:u w:val="single"/>
                </w:rPr>
                <w:t>0x7778B93a64B09295d890614eD8d4E61845899559</w:t>
              </w:r>
            </w:hyperlink>
          </w:p>
        </w:tc>
      </w:tr>
      <w:tr>
        <w:trPr>
          <w:cantSplit w:val="true"/>
        </w:trPr>
        <w:tc>
          <w:tcPr>
            <w:tcW w:w="4680" w:type="dxa"/>
            <w:tcBorders>
              <w:top w:val="single" w:sz="4" w:space="0" w:color="C8C2B8"/>
              <w:left w:val="single" w:sz="4" w:space="0" w:color="C8C2B8"/>
              <w:bottom w:val="single" w:sz="4" w:space="0" w:color="C8C2B8"/>
              <w:right w:val="single" w:sz="4" w:space="0" w:color="C8C2B8"/>
            </w:tcBorders>
            <w:shd w:fill="F4F1EC" w:val="clear"/>
            <w:tcMar>
              <w:top w:w="50" w:type="dxa"/>
              <w:bottom w:w="50" w:type="dxa"/>
            </w:tcMar>
            <w:vAlign w:val="center"/>
          </w:tcPr>
          <w:p>
            <w:pPr>
              <w:pStyle w:val="Normal"/>
              <w:widowControl w:val="false"/>
              <w:spacing w:before="0" w:after="0"/>
              <w:rPr/>
            </w:pPr>
            <w:r>
              <w:rPr>
                <w:rFonts w:eastAsia="Calibri" w:cs="Calibri"/>
                <w:b w:val="false"/>
                <w:i w:val="false"/>
                <w:sz w:val="20"/>
              </w:rPr>
              <w:t>Official pool</w:t>
            </w:r>
          </w:p>
        </w:tc>
        <w:tc>
          <w:tcPr>
            <w:tcW w:w="4679" w:type="dxa"/>
            <w:tcBorders>
              <w:top w:val="single" w:sz="4" w:space="0" w:color="C8C2B8"/>
              <w:left w:val="single" w:sz="4" w:space="0" w:color="C8C2B8"/>
              <w:bottom w:val="single" w:sz="4" w:space="0" w:color="C8C2B8"/>
              <w:right w:val="single" w:sz="4" w:space="0" w:color="C8C2B8"/>
            </w:tcBorders>
            <w:shd w:fill="F4F1EC" w:val="clear"/>
            <w:tcMar>
              <w:top w:w="50" w:type="dxa"/>
              <w:bottom w:w="50" w:type="dxa"/>
            </w:tcMar>
            <w:vAlign w:val="center"/>
          </w:tcPr>
          <w:p>
            <w:pPr>
              <w:pStyle w:val="Normal"/>
              <w:widowControl w:val="false"/>
              <w:spacing w:before="0" w:after="0"/>
              <w:rPr/>
            </w:pPr>
            <w:hyperlink r:id="rId10">
              <w:r>
                <w:rPr>
                  <w:rFonts w:cs="Consolas" w:ascii="Consolas" w:hAnsi="Consolas"/>
                  <w:color w:val="0563C1"/>
                  <w:sz w:val="18"/>
                  <w:szCs w:val="18"/>
                  <w:u w:val="single"/>
                </w:rPr>
                <w:t>0x00598d622684c5bf9b2d09fa84bf159c118d5538d990bd6baa2f32fc0e07f34f</w:t>
              </w:r>
            </w:hyperlink>
          </w:p>
        </w:tc>
      </w:tr>
    </w:tbl>
    <w:p>
      <w:pPr>
        <w:pStyle w:val="Normal"/>
        <w:spacing w:before="0" w:after="160"/>
        <w:rPr/>
      </w:pPr>
      <w:r>
        <w:rPr/>
      </w:r>
    </w:p>
    <w:p>
      <w:pPr>
        <w:pStyle w:val="Normal"/>
        <w:spacing w:lineRule="auto" w:line="276" w:before="0" w:after="160"/>
        <w:rPr/>
      </w:pPr>
      <w:r>
        <w:rPr>
          <w:rFonts w:eastAsia="Calibri" w:cs="Calibri"/>
          <w:b w:val="false"/>
          <w:i w:val="false"/>
          <w:sz w:val="22"/>
        </w:rPr>
        <w:t>The hook works only with this pool. Seed liquidity is in place. Ownership of the hook and fee collector has been renounced.</w:t>
      </w:r>
    </w:p>
    <w:p>
      <w:pPr>
        <w:pStyle w:val="Heading1"/>
        <w:rPr/>
      </w:pPr>
      <w:r>
        <w:rPr/>
        <w:t>5. Fees</w:t>
      </w:r>
    </w:p>
    <w:p>
      <w:pPr>
        <w:pStyle w:val="Heading2"/>
        <w:rPr/>
      </w:pPr>
      <w:r>
        <w:rPr/>
        <w:t>5.1 Wallet transfers</w:t>
      </w:r>
    </w:p>
    <w:p>
      <w:pPr>
        <w:pStyle w:val="Normal"/>
        <w:spacing w:lineRule="auto" w:line="276" w:before="0" w:after="160"/>
        <w:rPr/>
      </w:pPr>
      <w:r>
        <w:rPr>
          <w:rFonts w:eastAsia="Calibri" w:cs="Calibri"/>
          <w:b w:val="false"/>
          <w:i w:val="false"/>
          <w:sz w:val="22"/>
        </w:rPr>
        <w:t xml:space="preserve">Sending PXT from one wallet to another takes a </w:t>
      </w:r>
      <w:r>
        <w:rPr>
          <w:rFonts w:eastAsia="Calibri" w:cs="Calibri"/>
          <w:b/>
          <w:i w:val="false"/>
          <w:sz w:val="22"/>
        </w:rPr>
        <w:t>2.7%</w:t>
      </w:r>
      <w:r>
        <w:rPr>
          <w:rFonts w:eastAsia="Calibri" w:cs="Calibri"/>
          <w:b w:val="false"/>
          <w:i w:val="false"/>
          <w:sz w:val="22"/>
        </w:rPr>
        <w:t xml:space="preserve"> fee, unless the </w:t>
      </w:r>
      <w:r>
        <w:rPr>
          <w:rFonts w:eastAsia="Calibri" w:cs="Calibri"/>
          <w:b/>
          <w:i w:val="false"/>
          <w:sz w:val="22"/>
        </w:rPr>
        <w:t>recipient</w:t>
      </w:r>
      <w:r>
        <w:rPr>
          <w:rFonts w:eastAsia="Calibri" w:cs="Calibri"/>
          <w:b w:val="false"/>
          <w:i w:val="false"/>
          <w:sz w:val="22"/>
        </w:rPr>
        <w:t xml:space="preserve"> is marked fee-exempt or no-penalty:</w:t>
      </w:r>
    </w:p>
    <w:tbl>
      <w:tblPr>
        <w:tblW w:w="9360" w:type="dxa"/>
        <w:jc w:val="center"/>
        <w:tblInd w:w="0" w:type="dxa"/>
        <w:tblLayout w:type="fixed"/>
        <w:tblCellMar>
          <w:top w:w="60" w:type="dxa"/>
          <w:left w:w="80" w:type="dxa"/>
          <w:bottom w:w="60" w:type="dxa"/>
          <w:right w:w="80" w:type="dxa"/>
        </w:tblCellMar>
        <w:tblLook w:val="04a0" w:noHBand="0" w:noVBand="1" w:firstColumn="1" w:lastRow="0" w:lastColumn="0" w:firstRow="1"/>
      </w:tblPr>
      <w:tblGrid>
        <w:gridCol w:w="4680"/>
        <w:gridCol w:w="4679"/>
      </w:tblGrid>
      <w:tr>
        <w:trPr>
          <w:cantSplit w:val="true"/>
        </w:trPr>
        <w:tc>
          <w:tcPr>
            <w:tcW w:w="4680" w:type="dxa"/>
            <w:tcBorders>
              <w:top w:val="single" w:sz="4" w:space="0" w:color="1A2B4A"/>
              <w:left w:val="single" w:sz="4" w:space="0" w:color="1A2B4A"/>
              <w:bottom w:val="single" w:sz="4" w:space="0" w:color="1A2B4A"/>
              <w:right w:val="single" w:sz="4" w:space="0" w:color="1A2B4A"/>
            </w:tcBorders>
            <w:shd w:fill="1A2B4A" w:val="clear"/>
            <w:vAlign w:val="center"/>
          </w:tcPr>
          <w:p>
            <w:pPr>
              <w:pStyle w:val="Normal"/>
              <w:widowControl w:val="false"/>
              <w:spacing w:before="0" w:after="0"/>
              <w:rPr/>
            </w:pPr>
            <w:r>
              <w:rPr>
                <w:rFonts w:eastAsia="Calibri" w:cs="Calibri"/>
                <w:b/>
                <w:i w:val="false"/>
                <w:color w:val="FFFFFF"/>
                <w:sz w:val="20"/>
              </w:rPr>
              <w:t>Destination</w:t>
            </w:r>
          </w:p>
        </w:tc>
        <w:tc>
          <w:tcPr>
            <w:tcW w:w="4679" w:type="dxa"/>
            <w:tcBorders>
              <w:top w:val="single" w:sz="4" w:space="0" w:color="1A2B4A"/>
              <w:left w:val="single" w:sz="4" w:space="0" w:color="1A2B4A"/>
              <w:bottom w:val="single" w:sz="4" w:space="0" w:color="1A2B4A"/>
              <w:right w:val="single" w:sz="4" w:space="0" w:color="1A2B4A"/>
            </w:tcBorders>
            <w:shd w:fill="1A2B4A" w:val="clear"/>
            <w:vAlign w:val="center"/>
          </w:tcPr>
          <w:p>
            <w:pPr>
              <w:pStyle w:val="Normal"/>
              <w:widowControl w:val="false"/>
              <w:spacing w:before="0" w:after="0"/>
              <w:rPr/>
            </w:pPr>
            <w:r>
              <w:rPr>
                <w:rFonts w:eastAsia="Calibri" w:cs="Calibri"/>
                <w:b/>
                <w:i w:val="false"/>
                <w:color w:val="FFFFFF"/>
                <w:sz w:val="20"/>
              </w:rPr>
              <w:t>Share</w:t>
            </w:r>
          </w:p>
        </w:tc>
      </w:tr>
      <w:tr>
        <w:trPr>
          <w:cantSplit w:val="true"/>
        </w:trPr>
        <w:tc>
          <w:tcPr>
            <w:tcW w:w="4680" w:type="dxa"/>
            <w:tcBorders>
              <w:top w:val="single" w:sz="4" w:space="0" w:color="C8C2B8"/>
              <w:left w:val="single" w:sz="4" w:space="0" w:color="C8C2B8"/>
              <w:bottom w:val="single" w:sz="4" w:space="0" w:color="C8C2B8"/>
              <w:right w:val="single" w:sz="4" w:space="0" w:color="C8C2B8"/>
            </w:tcBorders>
            <w:shd w:fill="FFFFFF" w:val="clear"/>
            <w:tcMar>
              <w:top w:w="50" w:type="dxa"/>
              <w:bottom w:w="50" w:type="dxa"/>
            </w:tcMar>
            <w:vAlign w:val="center"/>
          </w:tcPr>
          <w:p>
            <w:pPr>
              <w:pStyle w:val="Normal"/>
              <w:widowControl w:val="false"/>
              <w:spacing w:before="0" w:after="0"/>
              <w:rPr/>
            </w:pPr>
            <w:r>
              <w:rPr>
                <w:rFonts w:eastAsia="Calibri" w:cs="Calibri"/>
                <w:b w:val="false"/>
                <w:i w:val="false"/>
                <w:sz w:val="20"/>
              </w:rPr>
              <w:t>Donation wallet</w:t>
            </w:r>
          </w:p>
        </w:tc>
        <w:tc>
          <w:tcPr>
            <w:tcW w:w="4679" w:type="dxa"/>
            <w:tcBorders>
              <w:top w:val="single" w:sz="4" w:space="0" w:color="C8C2B8"/>
              <w:left w:val="single" w:sz="4" w:space="0" w:color="C8C2B8"/>
              <w:bottom w:val="single" w:sz="4" w:space="0" w:color="C8C2B8"/>
              <w:right w:val="single" w:sz="4" w:space="0" w:color="C8C2B8"/>
            </w:tcBorders>
            <w:shd w:fill="FFFFFF" w:val="clear"/>
            <w:tcMar>
              <w:top w:w="50" w:type="dxa"/>
              <w:bottom w:w="50" w:type="dxa"/>
            </w:tcMar>
            <w:vAlign w:val="center"/>
          </w:tcPr>
          <w:p>
            <w:pPr>
              <w:pStyle w:val="Normal"/>
              <w:widowControl w:val="false"/>
              <w:spacing w:before="0" w:after="0"/>
              <w:rPr/>
            </w:pPr>
            <w:r>
              <w:rPr>
                <w:rFonts w:eastAsia="Calibri" w:cs="Calibri"/>
                <w:b w:val="false"/>
                <w:i w:val="false"/>
                <w:sz w:val="20"/>
              </w:rPr>
              <w:t>1.45%</w:t>
            </w:r>
          </w:p>
        </w:tc>
      </w:tr>
      <w:tr>
        <w:trPr>
          <w:cantSplit w:val="true"/>
        </w:trPr>
        <w:tc>
          <w:tcPr>
            <w:tcW w:w="4680" w:type="dxa"/>
            <w:tcBorders>
              <w:top w:val="single" w:sz="4" w:space="0" w:color="C8C2B8"/>
              <w:left w:val="single" w:sz="4" w:space="0" w:color="C8C2B8"/>
              <w:bottom w:val="single" w:sz="4" w:space="0" w:color="C8C2B8"/>
              <w:right w:val="single" w:sz="4" w:space="0" w:color="C8C2B8"/>
            </w:tcBorders>
            <w:shd w:fill="F4F1EC" w:val="clear"/>
            <w:tcMar>
              <w:top w:w="50" w:type="dxa"/>
              <w:bottom w:w="50" w:type="dxa"/>
            </w:tcMar>
            <w:vAlign w:val="center"/>
          </w:tcPr>
          <w:p>
            <w:pPr>
              <w:pStyle w:val="Normal"/>
              <w:widowControl w:val="false"/>
              <w:spacing w:before="0" w:after="0"/>
              <w:rPr/>
            </w:pPr>
            <w:r>
              <w:rPr>
                <w:rFonts w:eastAsia="Calibri" w:cs="Calibri"/>
                <w:b w:val="false"/>
                <w:i w:val="false"/>
                <w:sz w:val="20"/>
              </w:rPr>
              <w:t>Marketing wallet</w:t>
            </w:r>
          </w:p>
        </w:tc>
        <w:tc>
          <w:tcPr>
            <w:tcW w:w="4679" w:type="dxa"/>
            <w:tcBorders>
              <w:top w:val="single" w:sz="4" w:space="0" w:color="C8C2B8"/>
              <w:left w:val="single" w:sz="4" w:space="0" w:color="C8C2B8"/>
              <w:bottom w:val="single" w:sz="4" w:space="0" w:color="C8C2B8"/>
              <w:right w:val="single" w:sz="4" w:space="0" w:color="C8C2B8"/>
            </w:tcBorders>
            <w:shd w:fill="F4F1EC" w:val="clear"/>
            <w:tcMar>
              <w:top w:w="50" w:type="dxa"/>
              <w:bottom w:w="50" w:type="dxa"/>
            </w:tcMar>
            <w:vAlign w:val="center"/>
          </w:tcPr>
          <w:p>
            <w:pPr>
              <w:pStyle w:val="Normal"/>
              <w:widowControl w:val="false"/>
              <w:spacing w:before="0" w:after="0"/>
              <w:rPr/>
            </w:pPr>
            <w:r>
              <w:rPr>
                <w:rFonts w:eastAsia="Calibri" w:cs="Calibri"/>
                <w:b w:val="false"/>
                <w:i w:val="false"/>
                <w:sz w:val="20"/>
              </w:rPr>
              <w:t>1.25%</w:t>
            </w:r>
          </w:p>
        </w:tc>
      </w:tr>
      <w:tr>
        <w:trPr>
          <w:cantSplit w:val="true"/>
        </w:trPr>
        <w:tc>
          <w:tcPr>
            <w:tcW w:w="4680" w:type="dxa"/>
            <w:tcBorders>
              <w:top w:val="single" w:sz="4" w:space="0" w:color="C8C2B8"/>
              <w:left w:val="single" w:sz="4" w:space="0" w:color="C8C2B8"/>
              <w:bottom w:val="single" w:sz="4" w:space="0" w:color="C8C2B8"/>
              <w:right w:val="single" w:sz="4" w:space="0" w:color="C8C2B8"/>
            </w:tcBorders>
            <w:shd w:fill="FFFFFF" w:val="clear"/>
            <w:tcMar>
              <w:top w:w="50" w:type="dxa"/>
              <w:bottom w:w="50" w:type="dxa"/>
            </w:tcMar>
            <w:vAlign w:val="center"/>
          </w:tcPr>
          <w:p>
            <w:pPr>
              <w:pStyle w:val="Normal"/>
              <w:widowControl w:val="false"/>
              <w:spacing w:before="0" w:after="0"/>
              <w:rPr/>
            </w:pPr>
            <w:r>
              <w:rPr>
                <w:rFonts w:eastAsia="Calibri" w:cs="Calibri"/>
                <w:b w:val="false"/>
                <w:i w:val="false"/>
                <w:sz w:val="20"/>
              </w:rPr>
              <w:t>Recipient</w:t>
            </w:r>
          </w:p>
        </w:tc>
        <w:tc>
          <w:tcPr>
            <w:tcW w:w="4679" w:type="dxa"/>
            <w:tcBorders>
              <w:top w:val="single" w:sz="4" w:space="0" w:color="C8C2B8"/>
              <w:left w:val="single" w:sz="4" w:space="0" w:color="C8C2B8"/>
              <w:bottom w:val="single" w:sz="4" w:space="0" w:color="C8C2B8"/>
              <w:right w:val="single" w:sz="4" w:space="0" w:color="C8C2B8"/>
            </w:tcBorders>
            <w:shd w:fill="FFFFFF" w:val="clear"/>
            <w:tcMar>
              <w:top w:w="50" w:type="dxa"/>
              <w:bottom w:w="50" w:type="dxa"/>
            </w:tcMar>
            <w:vAlign w:val="center"/>
          </w:tcPr>
          <w:p>
            <w:pPr>
              <w:pStyle w:val="Normal"/>
              <w:widowControl w:val="false"/>
              <w:spacing w:before="0" w:after="0"/>
              <w:rPr/>
            </w:pPr>
            <w:r>
              <w:rPr>
                <w:rFonts w:eastAsia="Calibri" w:cs="Calibri"/>
                <w:b w:val="false"/>
                <w:i w:val="false"/>
                <w:sz w:val="20"/>
              </w:rPr>
              <w:t>97.3%</w:t>
            </w:r>
          </w:p>
        </w:tc>
      </w:tr>
    </w:tbl>
    <w:p>
      <w:pPr>
        <w:pStyle w:val="Normal"/>
        <w:spacing w:before="0" w:after="160"/>
        <w:rPr/>
      </w:pPr>
      <w:r>
        <w:rPr/>
      </w:r>
    </w:p>
    <w:p>
      <w:pPr>
        <w:pStyle w:val="Normal"/>
        <w:spacing w:lineRule="auto" w:line="276" w:before="0" w:after="160"/>
        <w:rPr/>
      </w:pPr>
      <w:r>
        <w:rPr>
          <w:rFonts w:eastAsia="Calibri" w:cs="Calibri"/>
          <w:b w:val="false"/>
          <w:i w:val="false"/>
          <w:sz w:val="22"/>
        </w:rPr>
        <w:t>The sender’s status does not skip this fee. Transfers that are part of a DEX buy, a liquidity exit, or a protocol payout do not pay it.</w:t>
      </w:r>
    </w:p>
    <w:p>
      <w:pPr>
        <w:pStyle w:val="Heading2"/>
        <w:rPr/>
      </w:pPr>
      <w:r>
        <w:rPr/>
        <w:t>5.2 DEX buys and sells</w:t>
      </w:r>
    </w:p>
    <w:p>
      <w:pPr>
        <w:pStyle w:val="Normal"/>
        <w:spacing w:lineRule="auto" w:line="276" w:before="0" w:after="160"/>
        <w:rPr/>
      </w:pPr>
      <w:r>
        <w:rPr>
          <w:rFonts w:eastAsia="Calibri" w:cs="Calibri"/>
          <w:b w:val="false"/>
          <w:i w:val="false"/>
          <w:sz w:val="22"/>
        </w:rPr>
        <w:t>The Uniswap pool itself does not charge an LP fee. Phoenix fees are applied on the swap:</w:t>
      </w:r>
    </w:p>
    <w:tbl>
      <w:tblPr>
        <w:tblW w:w="9360" w:type="dxa"/>
        <w:jc w:val="center"/>
        <w:tblInd w:w="0" w:type="dxa"/>
        <w:tblLayout w:type="fixed"/>
        <w:tblCellMar>
          <w:top w:w="60" w:type="dxa"/>
          <w:left w:w="80" w:type="dxa"/>
          <w:bottom w:w="60" w:type="dxa"/>
          <w:right w:w="80" w:type="dxa"/>
        </w:tblCellMar>
        <w:tblLook w:val="04a0" w:noHBand="0" w:noVBand="1" w:firstColumn="1" w:lastRow="0" w:lastColumn="0" w:firstRow="1"/>
      </w:tblPr>
      <w:tblGrid>
        <w:gridCol w:w="3120"/>
        <w:gridCol w:w="3120"/>
        <w:gridCol w:w="3120"/>
      </w:tblGrid>
      <w:tr>
        <w:trPr>
          <w:cantSplit w:val="true"/>
        </w:trPr>
        <w:tc>
          <w:tcPr>
            <w:tcW w:w="3120" w:type="dxa"/>
            <w:tcBorders>
              <w:top w:val="single" w:sz="4" w:space="0" w:color="1A2B4A"/>
              <w:left w:val="single" w:sz="4" w:space="0" w:color="1A2B4A"/>
              <w:bottom w:val="single" w:sz="4" w:space="0" w:color="1A2B4A"/>
              <w:right w:val="single" w:sz="4" w:space="0" w:color="1A2B4A"/>
            </w:tcBorders>
            <w:shd w:fill="1A2B4A" w:val="clear"/>
            <w:vAlign w:val="center"/>
          </w:tcPr>
          <w:p>
            <w:pPr>
              <w:pStyle w:val="Normal"/>
              <w:widowControl w:val="false"/>
              <w:spacing w:before="0" w:after="0"/>
              <w:rPr/>
            </w:pPr>
            <w:r>
              <w:rPr>
                <w:rFonts w:eastAsia="Calibri" w:cs="Calibri"/>
                <w:b/>
                <w:i w:val="false"/>
                <w:color w:val="FFFFFF"/>
                <w:sz w:val="20"/>
              </w:rPr>
              <w:t>Kind</w:t>
            </w:r>
          </w:p>
        </w:tc>
        <w:tc>
          <w:tcPr>
            <w:tcW w:w="3120" w:type="dxa"/>
            <w:tcBorders>
              <w:top w:val="single" w:sz="4" w:space="0" w:color="1A2B4A"/>
              <w:left w:val="single" w:sz="4" w:space="0" w:color="1A2B4A"/>
              <w:bottom w:val="single" w:sz="4" w:space="0" w:color="1A2B4A"/>
              <w:right w:val="single" w:sz="4" w:space="0" w:color="1A2B4A"/>
            </w:tcBorders>
            <w:shd w:fill="1A2B4A" w:val="clear"/>
            <w:vAlign w:val="center"/>
          </w:tcPr>
          <w:p>
            <w:pPr>
              <w:pStyle w:val="Normal"/>
              <w:widowControl w:val="false"/>
              <w:spacing w:before="0" w:after="0"/>
              <w:rPr/>
            </w:pPr>
            <w:r>
              <w:rPr>
                <w:rFonts w:eastAsia="Calibri" w:cs="Calibri"/>
                <w:b/>
                <w:i w:val="false"/>
                <w:color w:val="FFFFFF"/>
                <w:sz w:val="20"/>
              </w:rPr>
              <w:t>Total</w:t>
            </w:r>
          </w:p>
        </w:tc>
        <w:tc>
          <w:tcPr>
            <w:tcW w:w="3120" w:type="dxa"/>
            <w:tcBorders>
              <w:top w:val="single" w:sz="4" w:space="0" w:color="1A2B4A"/>
              <w:left w:val="single" w:sz="4" w:space="0" w:color="1A2B4A"/>
              <w:bottom w:val="single" w:sz="4" w:space="0" w:color="1A2B4A"/>
              <w:right w:val="single" w:sz="4" w:space="0" w:color="1A2B4A"/>
            </w:tcBorders>
            <w:shd w:fill="1A2B4A" w:val="clear"/>
            <w:vAlign w:val="center"/>
          </w:tcPr>
          <w:p>
            <w:pPr>
              <w:pStyle w:val="Normal"/>
              <w:widowControl w:val="false"/>
              <w:spacing w:before="0" w:after="0"/>
              <w:rPr/>
            </w:pPr>
            <w:r>
              <w:rPr>
                <w:rFonts w:eastAsia="Calibri" w:cs="Calibri"/>
                <w:b/>
                <w:i w:val="false"/>
                <w:color w:val="FFFFFF"/>
                <w:sz w:val="20"/>
              </w:rPr>
              <w:t>Split</w:t>
            </w:r>
          </w:p>
        </w:tc>
      </w:tr>
      <w:tr>
        <w:trPr>
          <w:cantSplit w:val="true"/>
        </w:trPr>
        <w:tc>
          <w:tcPr>
            <w:tcW w:w="3120" w:type="dxa"/>
            <w:tcBorders>
              <w:top w:val="single" w:sz="4" w:space="0" w:color="C8C2B8"/>
              <w:left w:val="single" w:sz="4" w:space="0" w:color="C8C2B8"/>
              <w:bottom w:val="single" w:sz="4" w:space="0" w:color="C8C2B8"/>
              <w:right w:val="single" w:sz="4" w:space="0" w:color="C8C2B8"/>
            </w:tcBorders>
            <w:shd w:fill="FFFFFF" w:val="clear"/>
            <w:tcMar>
              <w:top w:w="50" w:type="dxa"/>
              <w:bottom w:w="50" w:type="dxa"/>
            </w:tcMar>
            <w:vAlign w:val="center"/>
          </w:tcPr>
          <w:p>
            <w:pPr>
              <w:pStyle w:val="Normal"/>
              <w:widowControl w:val="false"/>
              <w:spacing w:before="0" w:after="0"/>
              <w:rPr/>
            </w:pPr>
            <w:r>
              <w:rPr>
                <w:rFonts w:eastAsia="Calibri" w:cs="Calibri"/>
                <w:b w:val="false"/>
                <w:i w:val="false"/>
                <w:sz w:val="20"/>
              </w:rPr>
              <w:t>Buy</w:t>
            </w:r>
          </w:p>
        </w:tc>
        <w:tc>
          <w:tcPr>
            <w:tcW w:w="3120" w:type="dxa"/>
            <w:tcBorders>
              <w:top w:val="single" w:sz="4" w:space="0" w:color="C8C2B8"/>
              <w:left w:val="single" w:sz="4" w:space="0" w:color="C8C2B8"/>
              <w:bottom w:val="single" w:sz="4" w:space="0" w:color="C8C2B8"/>
              <w:right w:val="single" w:sz="4" w:space="0" w:color="C8C2B8"/>
            </w:tcBorders>
            <w:shd w:fill="FFFFFF" w:val="clear"/>
            <w:tcMar>
              <w:top w:w="50" w:type="dxa"/>
              <w:bottom w:w="50" w:type="dxa"/>
            </w:tcMar>
            <w:vAlign w:val="center"/>
          </w:tcPr>
          <w:p>
            <w:pPr>
              <w:pStyle w:val="Normal"/>
              <w:widowControl w:val="false"/>
              <w:spacing w:before="0" w:after="0"/>
              <w:rPr/>
            </w:pPr>
            <w:r>
              <w:rPr>
                <w:rFonts w:eastAsia="Calibri" w:cs="Calibri"/>
                <w:b w:val="false"/>
                <w:i w:val="false"/>
                <w:sz w:val="20"/>
              </w:rPr>
              <w:t>2.7%</w:t>
            </w:r>
          </w:p>
        </w:tc>
        <w:tc>
          <w:tcPr>
            <w:tcW w:w="3120" w:type="dxa"/>
            <w:tcBorders>
              <w:top w:val="single" w:sz="4" w:space="0" w:color="C8C2B8"/>
              <w:left w:val="single" w:sz="4" w:space="0" w:color="C8C2B8"/>
              <w:bottom w:val="single" w:sz="4" w:space="0" w:color="C8C2B8"/>
              <w:right w:val="single" w:sz="4" w:space="0" w:color="C8C2B8"/>
            </w:tcBorders>
            <w:shd w:fill="FFFFFF" w:val="clear"/>
            <w:tcMar>
              <w:top w:w="50" w:type="dxa"/>
              <w:bottom w:w="50" w:type="dxa"/>
            </w:tcMar>
            <w:vAlign w:val="center"/>
          </w:tcPr>
          <w:p>
            <w:pPr>
              <w:pStyle w:val="Normal"/>
              <w:widowControl w:val="false"/>
              <w:spacing w:before="0" w:after="0"/>
              <w:rPr/>
            </w:pPr>
            <w:r>
              <w:rPr>
                <w:rFonts w:eastAsia="Calibri" w:cs="Calibri"/>
                <w:b w:val="false"/>
                <w:i w:val="false"/>
                <w:sz w:val="20"/>
              </w:rPr>
              <w:t>1.45% donations · 1.25% marketing</w:t>
            </w:r>
          </w:p>
        </w:tc>
      </w:tr>
      <w:tr>
        <w:trPr>
          <w:cantSplit w:val="true"/>
        </w:trPr>
        <w:tc>
          <w:tcPr>
            <w:tcW w:w="3120" w:type="dxa"/>
            <w:tcBorders>
              <w:top w:val="single" w:sz="4" w:space="0" w:color="C8C2B8"/>
              <w:left w:val="single" w:sz="4" w:space="0" w:color="C8C2B8"/>
              <w:bottom w:val="single" w:sz="4" w:space="0" w:color="C8C2B8"/>
              <w:right w:val="single" w:sz="4" w:space="0" w:color="C8C2B8"/>
            </w:tcBorders>
            <w:shd w:fill="F4F1EC" w:val="clear"/>
            <w:tcMar>
              <w:top w:w="50" w:type="dxa"/>
              <w:bottom w:w="50" w:type="dxa"/>
            </w:tcMar>
            <w:vAlign w:val="center"/>
          </w:tcPr>
          <w:p>
            <w:pPr>
              <w:pStyle w:val="Normal"/>
              <w:widowControl w:val="false"/>
              <w:spacing w:before="0" w:after="0"/>
              <w:rPr/>
            </w:pPr>
            <w:r>
              <w:rPr>
                <w:rFonts w:eastAsia="Calibri" w:cs="Calibri"/>
                <w:b w:val="false"/>
                <w:i w:val="false"/>
                <w:sz w:val="20"/>
              </w:rPr>
              <w:t>Sell (up to 10% of the wallet in 24 hours)</w:t>
            </w:r>
          </w:p>
        </w:tc>
        <w:tc>
          <w:tcPr>
            <w:tcW w:w="3120" w:type="dxa"/>
            <w:tcBorders>
              <w:top w:val="single" w:sz="4" w:space="0" w:color="C8C2B8"/>
              <w:left w:val="single" w:sz="4" w:space="0" w:color="C8C2B8"/>
              <w:bottom w:val="single" w:sz="4" w:space="0" w:color="C8C2B8"/>
              <w:right w:val="single" w:sz="4" w:space="0" w:color="C8C2B8"/>
            </w:tcBorders>
            <w:shd w:fill="F4F1EC" w:val="clear"/>
            <w:tcMar>
              <w:top w:w="50" w:type="dxa"/>
              <w:bottom w:w="50" w:type="dxa"/>
            </w:tcMar>
            <w:vAlign w:val="center"/>
          </w:tcPr>
          <w:p>
            <w:pPr>
              <w:pStyle w:val="Normal"/>
              <w:widowControl w:val="false"/>
              <w:spacing w:before="0" w:after="0"/>
              <w:rPr/>
            </w:pPr>
            <w:r>
              <w:rPr>
                <w:rFonts w:eastAsia="Calibri" w:cs="Calibri"/>
                <w:b w:val="false"/>
                <w:i w:val="false"/>
                <w:sz w:val="20"/>
              </w:rPr>
              <w:t>5.4%</w:t>
            </w:r>
          </w:p>
        </w:tc>
        <w:tc>
          <w:tcPr>
            <w:tcW w:w="3120" w:type="dxa"/>
            <w:tcBorders>
              <w:top w:val="single" w:sz="4" w:space="0" w:color="C8C2B8"/>
              <w:left w:val="single" w:sz="4" w:space="0" w:color="C8C2B8"/>
              <w:bottom w:val="single" w:sz="4" w:space="0" w:color="C8C2B8"/>
              <w:right w:val="single" w:sz="4" w:space="0" w:color="C8C2B8"/>
            </w:tcBorders>
            <w:shd w:fill="F4F1EC" w:val="clear"/>
            <w:tcMar>
              <w:top w:w="50" w:type="dxa"/>
              <w:bottom w:w="50" w:type="dxa"/>
            </w:tcMar>
            <w:vAlign w:val="center"/>
          </w:tcPr>
          <w:p>
            <w:pPr>
              <w:pStyle w:val="Normal"/>
              <w:widowControl w:val="false"/>
              <w:spacing w:before="0" w:after="0"/>
              <w:rPr/>
            </w:pPr>
            <w:r>
              <w:rPr>
                <w:rFonts w:eastAsia="Calibri" w:cs="Calibri"/>
                <w:b w:val="false"/>
                <w:i w:val="false"/>
                <w:sz w:val="20"/>
              </w:rPr>
              <w:t>1.25% donations · 1.15% marketing · 1.85% burn · 1.15% buyback</w:t>
            </w:r>
          </w:p>
        </w:tc>
      </w:tr>
      <w:tr>
        <w:trPr>
          <w:cantSplit w:val="true"/>
        </w:trPr>
        <w:tc>
          <w:tcPr>
            <w:tcW w:w="3120" w:type="dxa"/>
            <w:tcBorders>
              <w:top w:val="single" w:sz="4" w:space="0" w:color="C8C2B8"/>
              <w:left w:val="single" w:sz="4" w:space="0" w:color="C8C2B8"/>
              <w:bottom w:val="single" w:sz="4" w:space="0" w:color="C8C2B8"/>
              <w:right w:val="single" w:sz="4" w:space="0" w:color="C8C2B8"/>
            </w:tcBorders>
            <w:shd w:fill="FFFFFF" w:val="clear"/>
            <w:tcMar>
              <w:top w:w="50" w:type="dxa"/>
              <w:bottom w:w="50" w:type="dxa"/>
            </w:tcMar>
            <w:vAlign w:val="center"/>
          </w:tcPr>
          <w:p>
            <w:pPr>
              <w:pStyle w:val="Normal"/>
              <w:widowControl w:val="false"/>
              <w:spacing w:before="0" w:after="0"/>
              <w:rPr/>
            </w:pPr>
            <w:r>
              <w:rPr>
                <w:rFonts w:eastAsia="Calibri" w:cs="Calibri"/>
                <w:b w:val="false"/>
                <w:i w:val="false"/>
                <w:sz w:val="20"/>
              </w:rPr>
              <w:t>Penalty (more than 10% of the wallet in 24 hours)</w:t>
            </w:r>
          </w:p>
        </w:tc>
        <w:tc>
          <w:tcPr>
            <w:tcW w:w="3120" w:type="dxa"/>
            <w:tcBorders>
              <w:top w:val="single" w:sz="4" w:space="0" w:color="C8C2B8"/>
              <w:left w:val="single" w:sz="4" w:space="0" w:color="C8C2B8"/>
              <w:bottom w:val="single" w:sz="4" w:space="0" w:color="C8C2B8"/>
              <w:right w:val="single" w:sz="4" w:space="0" w:color="C8C2B8"/>
            </w:tcBorders>
            <w:shd w:fill="FFFFFF" w:val="clear"/>
            <w:tcMar>
              <w:top w:w="50" w:type="dxa"/>
              <w:bottom w:w="50" w:type="dxa"/>
            </w:tcMar>
            <w:vAlign w:val="center"/>
          </w:tcPr>
          <w:p>
            <w:pPr>
              <w:pStyle w:val="Normal"/>
              <w:widowControl w:val="false"/>
              <w:spacing w:before="0" w:after="0"/>
              <w:rPr/>
            </w:pPr>
            <w:r>
              <w:rPr>
                <w:rFonts w:eastAsia="Calibri" w:cs="Calibri"/>
                <w:b w:val="false"/>
                <w:i w:val="false"/>
                <w:sz w:val="20"/>
              </w:rPr>
              <w:t>37.8%</w:t>
            </w:r>
          </w:p>
        </w:tc>
        <w:tc>
          <w:tcPr>
            <w:tcW w:w="3120" w:type="dxa"/>
            <w:tcBorders>
              <w:top w:val="single" w:sz="4" w:space="0" w:color="C8C2B8"/>
              <w:left w:val="single" w:sz="4" w:space="0" w:color="C8C2B8"/>
              <w:bottom w:val="single" w:sz="4" w:space="0" w:color="C8C2B8"/>
              <w:right w:val="single" w:sz="4" w:space="0" w:color="C8C2B8"/>
            </w:tcBorders>
            <w:shd w:fill="FFFFFF" w:val="clear"/>
            <w:tcMar>
              <w:top w:w="50" w:type="dxa"/>
              <w:bottom w:w="50" w:type="dxa"/>
            </w:tcMar>
            <w:vAlign w:val="center"/>
          </w:tcPr>
          <w:p>
            <w:pPr>
              <w:pStyle w:val="Normal"/>
              <w:widowControl w:val="false"/>
              <w:spacing w:before="0" w:after="0"/>
              <w:rPr/>
            </w:pPr>
            <w:r>
              <w:rPr>
                <w:rFonts w:eastAsia="Calibri" w:cs="Calibri"/>
                <w:b w:val="false"/>
                <w:i w:val="false"/>
                <w:sz w:val="20"/>
              </w:rPr>
              <w:t>1.25% donations · 1.15% marketing · 1.85% burn · 33.55% buyback</w:t>
            </w:r>
          </w:p>
        </w:tc>
      </w:tr>
    </w:tbl>
    <w:p>
      <w:pPr>
        <w:pStyle w:val="Normal"/>
        <w:spacing w:before="0" w:after="160"/>
        <w:rPr/>
      </w:pPr>
      <w:r>
        <w:rPr/>
      </w:r>
    </w:p>
    <w:p>
      <w:pPr>
        <w:pStyle w:val="Normal"/>
        <w:spacing w:lineRule="auto" w:line="276" w:before="0" w:after="160"/>
        <w:rPr/>
      </w:pPr>
      <w:r>
        <w:rPr>
          <w:rFonts w:eastAsia="Calibri" w:cs="Calibri"/>
          <w:b w:val="false"/>
          <w:i w:val="false"/>
          <w:sz w:val="22"/>
        </w:rPr>
        <w:t xml:space="preserve">Buy and transfer use the same 1.45% / 1.25% split. On a sell or penalty trade, </w:t>
      </w:r>
      <w:r>
        <w:rPr>
          <w:rFonts w:eastAsia="Calibri" w:cs="Calibri"/>
          <w:b/>
          <w:i w:val="false"/>
          <w:sz w:val="22"/>
        </w:rPr>
        <w:t>1.85% of the PXT sold is burned</w:t>
      </w:r>
      <w:r>
        <w:rPr>
          <w:rFonts w:eastAsia="Calibri" w:cs="Calibri"/>
          <w:b w:val="false"/>
          <w:i w:val="false"/>
          <w:sz w:val="22"/>
        </w:rPr>
        <w:t xml:space="preserve">. The other legs are taken in </w:t>
      </w:r>
      <w:r>
        <w:rPr>
          <w:rFonts w:eastAsia="Calibri" w:cs="Calibri"/>
          <w:b/>
          <w:i w:val="false"/>
          <w:sz w:val="22"/>
        </w:rPr>
        <w:t>USDC</w:t>
      </w:r>
      <w:r>
        <w:rPr>
          <w:rFonts w:eastAsia="Calibri" w:cs="Calibri"/>
          <w:b w:val="false"/>
          <w:i w:val="false"/>
          <w:sz w:val="22"/>
        </w:rPr>
        <w:t>. Protocol buybacks do not pay the buy fee again.</w:t>
      </w:r>
    </w:p>
    <w:p>
      <w:pPr>
        <w:pStyle w:val="Heading2"/>
        <w:rPr/>
      </w:pPr>
      <w:r>
        <w:rPr/>
        <w:t>5.3 Dump window</w:t>
      </w:r>
    </w:p>
    <w:p>
      <w:pPr>
        <w:pStyle w:val="Normal"/>
        <w:spacing w:lineRule="auto" w:line="276" w:before="0" w:after="160"/>
        <w:rPr/>
      </w:pPr>
      <w:r>
        <w:rPr>
          <w:rFonts w:eastAsia="Calibri" w:cs="Calibri"/>
          <w:b w:val="false"/>
          <w:i w:val="false"/>
          <w:sz w:val="22"/>
        </w:rPr>
        <w:t xml:space="preserve">Selling more than </w:t>
      </w:r>
      <w:r>
        <w:rPr>
          <w:rFonts w:eastAsia="Calibri" w:cs="Calibri"/>
          <w:b/>
          <w:i w:val="false"/>
          <w:sz w:val="22"/>
        </w:rPr>
        <w:t>10%</w:t>
      </w:r>
      <w:r>
        <w:rPr>
          <w:rFonts w:eastAsia="Calibri" w:cs="Calibri"/>
          <w:b w:val="false"/>
          <w:i w:val="false"/>
          <w:sz w:val="22"/>
        </w:rPr>
        <w:t xml:space="preserve"> of a wallet’s balance within </w:t>
      </w:r>
      <w:r>
        <w:rPr>
          <w:rFonts w:eastAsia="Calibri" w:cs="Calibri"/>
          <w:b/>
          <w:i w:val="false"/>
          <w:sz w:val="22"/>
        </w:rPr>
        <w:t>24 hours</w:t>
      </w:r>
      <w:r>
        <w:rPr>
          <w:rFonts w:eastAsia="Calibri" w:cs="Calibri"/>
          <w:b w:val="false"/>
          <w:i w:val="false"/>
          <w:sz w:val="22"/>
        </w:rPr>
        <w:t xml:space="preserve"> uses the penalty fee.</w:t>
      </w:r>
    </w:p>
    <w:p>
      <w:pPr>
        <w:pStyle w:val="Normal"/>
        <w:spacing w:lineRule="auto" w:line="276" w:before="0" w:after="160"/>
        <w:rPr/>
      </w:pPr>
      <w:r>
        <w:rPr>
          <w:rFonts w:eastAsia="Calibri" w:cs="Calibri"/>
          <w:b w:val="false"/>
          <w:i w:val="false"/>
          <w:sz w:val="22"/>
        </w:rPr>
        <w:t xml:space="preserve">Wallets marked </w:t>
      </w:r>
      <w:r>
        <w:rPr>
          <w:rFonts w:eastAsia="Calibri" w:cs="Calibri"/>
          <w:b/>
          <w:i w:val="false"/>
          <w:sz w:val="22"/>
        </w:rPr>
        <w:t>no-penalty</w:t>
      </w:r>
      <w:r>
        <w:rPr>
          <w:rFonts w:eastAsia="Calibri" w:cs="Calibri"/>
          <w:b w:val="false"/>
          <w:i w:val="false"/>
          <w:sz w:val="22"/>
        </w:rPr>
        <w:t xml:space="preserve"> do not pay the 2.7% transfer tax when they receive PXT. Their DEX sells always pay the base 5.4% and never the dump penalty.</w:t>
      </w:r>
    </w:p>
    <w:p>
      <w:pPr>
        <w:pStyle w:val="Normal"/>
        <w:spacing w:lineRule="auto" w:line="276" w:before="0" w:after="160"/>
        <w:rPr/>
      </w:pPr>
      <w:r>
        <w:rPr>
          <w:rFonts w:eastAsia="Calibri" w:cs="Calibri"/>
          <w:b w:val="false"/>
          <w:i w:val="false"/>
          <w:sz w:val="22"/>
        </w:rPr>
        <w:t xml:space="preserve">Wallets marked </w:t>
      </w:r>
      <w:r>
        <w:rPr>
          <w:rFonts w:eastAsia="Calibri" w:cs="Calibri"/>
          <w:b/>
          <w:i w:val="false"/>
          <w:sz w:val="22"/>
        </w:rPr>
        <w:t>fee-exempt</w:t>
      </w:r>
      <w:r>
        <w:rPr>
          <w:rFonts w:eastAsia="Calibri" w:cs="Calibri"/>
          <w:b w:val="false"/>
          <w:i w:val="false"/>
          <w:sz w:val="22"/>
        </w:rPr>
        <w:t xml:space="preserve"> get the USDC sell fee refunded; the 1.85% burn still applies. Ordinary buys still pay 2.7%. Fee-exempt status does not bypass the sell lock or the anti-bot opening.</w:t>
      </w:r>
    </w:p>
    <w:p>
      <w:pPr>
        <w:pStyle w:val="Heading1"/>
        <w:rPr/>
      </w:pPr>
      <w:r>
        <w:rPr/>
        <w:t>6. Protections</w:t>
      </w:r>
    </w:p>
    <w:p>
      <w:pPr>
        <w:pStyle w:val="Heading2"/>
        <w:rPr/>
      </w:pPr>
      <w:r>
        <w:rPr/>
        <w:t>6.1 Sell lock</w:t>
      </w:r>
    </w:p>
    <w:p>
      <w:pPr>
        <w:pStyle w:val="Normal"/>
        <w:spacing w:lineRule="auto" w:line="276" w:before="0" w:after="160"/>
        <w:rPr/>
      </w:pPr>
      <w:r>
        <w:rPr>
          <w:rFonts w:eastAsia="Calibri" w:cs="Calibri"/>
          <w:b w:val="false"/>
          <w:i w:val="false"/>
          <w:sz w:val="22"/>
        </w:rPr>
        <w:t xml:space="preserve">DEX sells are locked until </w:t>
      </w:r>
      <w:r>
        <w:rPr>
          <w:rFonts w:eastAsia="Calibri" w:cs="Calibri"/>
          <w:b/>
          <w:i w:val="false"/>
          <w:sz w:val="22"/>
        </w:rPr>
        <w:t>1 March 2027, 00:00 UTC</w:t>
      </w:r>
      <w:r>
        <w:rPr>
          <w:rFonts w:eastAsia="Calibri" w:cs="Calibri"/>
          <w:b w:val="false"/>
          <w:i w:val="false"/>
          <w:sz w:val="22"/>
        </w:rPr>
        <w:t>. That date is fixed in the contract and cannot be changed. Before then, selling PXT on the pool is not possible. Sending PXT to another wallet and buying on the pool still work.</w:t>
      </w:r>
    </w:p>
    <w:p>
      <w:pPr>
        <w:pStyle w:val="Normal"/>
        <w:spacing w:lineRule="auto" w:line="276" w:before="0" w:after="160"/>
        <w:rPr/>
      </w:pPr>
      <w:r>
        <w:rPr>
          <w:rFonts w:eastAsia="Calibri" w:cs="Calibri"/>
          <w:b w:val="false"/>
          <w:i w:val="false"/>
          <w:sz w:val="22"/>
        </w:rPr>
        <w:t>Until unlock, the official presentation says holders who want to exit may sell peer-to-peer (wallet to wallet, 2.7% transfer fee). That is not a pool sale.</w:t>
      </w:r>
    </w:p>
    <w:p>
      <w:pPr>
        <w:pStyle w:val="Heading2"/>
        <w:rPr/>
      </w:pPr>
      <w:r>
        <w:rPr/>
        <w:t>6.2 Anti-bot</w:t>
      </w:r>
    </w:p>
    <w:p>
      <w:pPr>
        <w:pStyle w:val="Normal"/>
        <w:spacing w:lineRule="auto" w:line="276" w:before="0" w:after="160"/>
        <w:rPr/>
      </w:pPr>
      <w:r>
        <w:rPr>
          <w:rFonts w:eastAsia="Calibri" w:cs="Calibri"/>
          <w:b w:val="false"/>
          <w:i w:val="false"/>
          <w:sz w:val="22"/>
        </w:rPr>
        <w:t>After the unlock date, public pool sells stay closed until a designated first seller opens them with a first sale. Until that happens, other wallets cannot sell on the pool. That opening has not been completed yet.</w:t>
      </w:r>
    </w:p>
    <w:p>
      <w:pPr>
        <w:pStyle w:val="Heading2"/>
        <w:rPr/>
      </w:pPr>
      <w:r>
        <w:rPr/>
        <w:t>6.3 Liquidity</w:t>
      </w:r>
    </w:p>
    <w:p>
      <w:pPr>
        <w:pStyle w:val="Normal"/>
        <w:spacing w:lineRule="auto" w:line="276" w:before="0" w:after="160"/>
        <w:rPr/>
      </w:pPr>
      <w:r>
        <w:rPr>
          <w:rFonts w:eastAsia="Calibri" w:cs="Calibri"/>
          <w:b w:val="false"/>
          <w:i w:val="false"/>
          <w:sz w:val="22"/>
        </w:rPr>
        <w:t xml:space="preserve">Official-pool </w:t>
      </w:r>
      <w:r>
        <w:rPr>
          <w:rFonts w:eastAsia="Calibri" w:cs="Calibri"/>
          <w:b/>
          <w:i w:val="false"/>
          <w:sz w:val="22"/>
        </w:rPr>
        <w:t>seed liquidity is locked</w:t>
      </w:r>
      <w:r>
        <w:rPr>
          <w:rFonts w:eastAsia="Calibri" w:cs="Calibri"/>
          <w:b w:val="false"/>
          <w:i w:val="false"/>
          <w:sz w:val="22"/>
        </w:rPr>
        <w:t>. It was minted once into a position owned by the protocol fee collector. That contract has no withdraw, and its ownership is renounced, so the seed cannot be pulled.</w:t>
      </w:r>
    </w:p>
    <w:p>
      <w:pPr>
        <w:pStyle w:val="Normal"/>
        <w:spacing w:lineRule="auto" w:line="276" w:before="0" w:after="160"/>
        <w:rPr/>
      </w:pPr>
      <w:r>
        <w:rPr>
          <w:rFonts w:eastAsia="Calibri" w:cs="Calibri"/>
          <w:b w:val="false"/>
          <w:i w:val="false"/>
          <w:sz w:val="22"/>
        </w:rPr>
        <w:t xml:space="preserve">Until </w:t>
      </w:r>
      <w:r>
        <w:rPr>
          <w:rFonts w:eastAsia="Calibri" w:cs="Calibri"/>
          <w:b/>
          <w:i w:val="false"/>
          <w:sz w:val="22"/>
        </w:rPr>
        <w:t>1 March 2027</w:t>
      </w:r>
      <w:r>
        <w:rPr>
          <w:rFonts w:eastAsia="Calibri" w:cs="Calibri"/>
          <w:b w:val="false"/>
          <w:i w:val="false"/>
          <w:sz w:val="22"/>
        </w:rPr>
        <w:t xml:space="preserve"> the hook also blocks any other address from </w:t>
      </w:r>
      <w:r>
        <w:rPr>
          <w:rFonts w:eastAsia="Calibri" w:cs="Calibri"/>
          <w:b w:val="false"/>
          <w:i/>
          <w:sz w:val="22"/>
        </w:rPr>
        <w:t>adding</w:t>
      </w:r>
      <w:r>
        <w:rPr>
          <w:rFonts w:eastAsia="Calibri" w:cs="Calibri"/>
          <w:b w:val="false"/>
          <w:i w:val="false"/>
          <w:sz w:val="22"/>
        </w:rPr>
        <w:t xml:space="preserve"> liquidity on that pool. Protocol </w:t>
      </w:r>
      <w:r>
        <w:rPr>
          <w:rFonts w:eastAsia="Consolas" w:cs="Consolas" w:ascii="Consolas" w:hAnsi="Consolas"/>
          <w:b w:val="false"/>
          <w:i w:val="false"/>
          <w:color w:val="333333"/>
          <w:sz w:val="22"/>
        </w:rPr>
        <w:t>addLiquidity</w:t>
      </w:r>
      <w:r>
        <w:rPr>
          <w:rFonts w:eastAsia="Calibri" w:cs="Calibri"/>
          <w:b w:val="false"/>
          <w:i w:val="false"/>
          <w:sz w:val="22"/>
        </w:rPr>
        <w:t xml:space="preserve"> itself is one-shot and already used; buyback recycle LP is minted only after selling is open, still on the collector, and is not withdrawn.</w:t>
      </w:r>
    </w:p>
    <w:p>
      <w:pPr>
        <w:pStyle w:val="Normal"/>
        <w:spacing w:lineRule="auto" w:line="276" w:before="0" w:after="160"/>
        <w:rPr/>
      </w:pPr>
      <w:r>
        <w:rPr>
          <w:rFonts w:eastAsia="Calibri" w:cs="Calibri"/>
          <w:b w:val="false"/>
          <w:i w:val="false"/>
          <w:sz w:val="22"/>
        </w:rPr>
        <w:t xml:space="preserve">After unlock, other wallets may add </w:t>
      </w:r>
      <w:r>
        <w:rPr>
          <w:rFonts w:eastAsia="Calibri" w:cs="Calibri"/>
          <w:b/>
          <w:i w:val="false"/>
          <w:sz w:val="22"/>
        </w:rPr>
        <w:t>their own</w:t>
      </w:r>
      <w:r>
        <w:rPr>
          <w:rFonts w:eastAsia="Calibri" w:cs="Calibri"/>
          <w:b w:val="false"/>
          <w:i w:val="false"/>
          <w:sz w:val="22"/>
        </w:rPr>
        <w:t xml:space="preserve"> liquidity (and can remove only what they added). That does not unlock or move the seed.</w:t>
      </w:r>
    </w:p>
    <w:p>
      <w:pPr>
        <w:pStyle w:val="Heading2"/>
        <w:rPr/>
      </w:pPr>
      <w:r>
        <w:rPr/>
        <w:t>6.4 Transfers to contracts</w:t>
      </w:r>
    </w:p>
    <w:p>
      <w:pPr>
        <w:pStyle w:val="Normal"/>
        <w:spacing w:lineRule="auto" w:line="276" w:before="0" w:after="160"/>
        <w:rPr/>
      </w:pPr>
      <w:r>
        <w:rPr>
          <w:rFonts w:eastAsia="Calibri" w:cs="Calibri"/>
          <w:b w:val="false"/>
          <w:i w:val="false"/>
          <w:sz w:val="22"/>
        </w:rPr>
        <w:t>Sending PXT to an ordinary wallet is allowed (fees still apply). Sending PXT to a smart contract (for example staking or a bridge) is allowed only if that contract has been approved. After ownership was renounced, a designated approver can add or remove those contracts. This is not a pause on user-to-user transfers.</w:t>
      </w:r>
    </w:p>
    <w:p>
      <w:pPr>
        <w:pStyle w:val="Heading1"/>
        <w:rPr/>
      </w:pPr>
      <w:r>
        <w:rPr/>
        <w:t>7. Buyback</w:t>
      </w:r>
    </w:p>
    <w:p>
      <w:pPr>
        <w:pStyle w:val="Normal"/>
        <w:spacing w:lineRule="auto" w:line="276" w:before="0" w:after="160"/>
        <w:rPr/>
      </w:pPr>
      <w:r>
        <w:rPr>
          <w:rFonts w:eastAsia="Calibri" w:cs="Calibri"/>
          <w:b w:val="false"/>
          <w:i w:val="false"/>
          <w:sz w:val="22"/>
        </w:rPr>
        <w:t>USDC fees go to the fee collector.</w:t>
      </w:r>
    </w:p>
    <w:p>
      <w:pPr>
        <w:pStyle w:val="Normal"/>
        <w:spacing w:lineRule="auto" w:line="276" w:before="0" w:after="160"/>
        <w:rPr/>
      </w:pPr>
      <w:r>
        <w:rPr>
          <w:rFonts w:eastAsia="Calibri" w:cs="Calibri"/>
          <w:b w:val="false"/>
          <w:i w:val="false"/>
          <w:sz w:val="22"/>
        </w:rPr>
        <w:t xml:space="preserve">Anyone can trigger payout of pending donations, marketing, and burns. Buyback — using reserved USDC to buy PXT and return it to the pool as liquidity — can be run only by authorized operators. Buyback price protection is a </w:t>
      </w:r>
      <w:r>
        <w:rPr>
          <w:rFonts w:eastAsia="Calibri" w:cs="Calibri"/>
          <w:b/>
          <w:i w:val="false"/>
          <w:sz w:val="22"/>
        </w:rPr>
        <w:t>2%</w:t>
      </w:r>
      <w:r>
        <w:rPr>
          <w:rFonts w:eastAsia="Calibri" w:cs="Calibri"/>
          <w:b w:val="false"/>
          <w:i w:val="false"/>
          <w:sz w:val="22"/>
        </w:rPr>
        <w:t xml:space="preserve"> cap against the previous block’s pool price. That cap is fixed.</w:t>
      </w:r>
    </w:p>
    <w:p>
      <w:pPr>
        <w:pStyle w:val="Heading1"/>
        <w:rPr/>
      </w:pPr>
      <w:r>
        <w:rPr/>
        <w:t>8. Supply</w:t>
      </w:r>
    </w:p>
    <w:p>
      <w:pPr>
        <w:pStyle w:val="Normal"/>
        <w:spacing w:lineRule="auto" w:line="276" w:before="0" w:after="160"/>
        <w:rPr/>
      </w:pPr>
      <w:r>
        <w:rPr>
          <w:rFonts w:eastAsia="Calibri" w:cs="Calibri"/>
          <w:b w:val="false"/>
          <w:i w:val="false"/>
          <w:sz w:val="22"/>
        </w:rPr>
        <w:t>No new PXT can be created after launch. Tokens can be burned by their holder.</w:t>
      </w:r>
    </w:p>
    <w:p>
      <w:pPr>
        <w:pStyle w:val="Normal"/>
        <w:spacing w:lineRule="auto" w:line="276" w:before="0" w:after="80"/>
        <w:rPr/>
      </w:pPr>
      <w:r>
        <w:rPr>
          <w:rFonts w:eastAsia="Calibri" w:cs="Calibri"/>
          <w:b w:val="false"/>
          <w:i w:val="false"/>
          <w:sz w:val="22"/>
        </w:rPr>
        <w:t xml:space="preserve">The official presentation states that </w:t>
      </w:r>
      <w:r>
        <w:rPr>
          <w:rFonts w:eastAsia="Calibri" w:cs="Calibri"/>
          <w:b/>
          <w:i w:val="false"/>
          <w:sz w:val="22"/>
        </w:rPr>
        <w:t>main supply is controlled by the backoffice</w:t>
      </w:r>
      <w:r>
        <w:rPr>
          <w:rFonts w:eastAsia="Calibri" w:cs="Calibri"/>
          <w:b w:val="false"/>
          <w:i w:val="false"/>
          <w:sz w:val="22"/>
        </w:rPr>
        <w:t xml:space="preserve"> and is released only in four cases:</w:t>
      </w:r>
    </w:p>
    <w:p>
      <w:pPr>
        <w:pStyle w:val="ListNumber"/>
        <w:numPr>
          <w:ilvl w:val="0"/>
          <w:numId w:val="4"/>
        </w:numPr>
        <w:spacing w:before="0" w:after="60"/>
        <w:ind w:left="504" w:hanging="360"/>
        <w:contextualSpacing/>
        <w:rPr/>
      </w:pPr>
      <w:r>
        <w:rPr>
          <w:rFonts w:eastAsia="Calibri" w:cs="Calibri"/>
          <w:b w:val="false"/>
          <w:i w:val="false"/>
          <w:sz w:val="22"/>
        </w:rPr>
        <w:t>Rewards moved to the main wallet (1st and 15th of each month in phase one), converted from USD to PXT at the market price.</w:t>
      </w:r>
    </w:p>
    <w:p>
      <w:pPr>
        <w:pStyle w:val="ListNumber"/>
        <w:numPr>
          <w:ilvl w:val="0"/>
          <w:numId w:val="4"/>
        </w:numPr>
        <w:spacing w:before="0" w:after="60"/>
        <w:ind w:left="504" w:hanging="360"/>
        <w:contextualSpacing/>
        <w:rPr/>
      </w:pPr>
      <w:r>
        <w:rPr>
          <w:rFonts w:eastAsia="Calibri" w:cs="Calibri"/>
          <w:b w:val="false"/>
          <w:i w:val="false"/>
          <w:sz w:val="22"/>
        </w:rPr>
        <w:t>Monthly staking of the stake balance (first order stated as 30 September 2026).</w:t>
      </w:r>
    </w:p>
    <w:p>
      <w:pPr>
        <w:pStyle w:val="ListNumber"/>
        <w:numPr>
          <w:ilvl w:val="0"/>
          <w:numId w:val="4"/>
        </w:numPr>
        <w:spacing w:before="0" w:after="60"/>
        <w:ind w:left="504" w:hanging="360"/>
        <w:contextualSpacing/>
        <w:rPr/>
      </w:pPr>
      <w:r>
        <w:rPr>
          <w:rFonts w:eastAsia="Calibri" w:cs="Calibri"/>
          <w:b w:val="false"/>
          <w:i w:val="false"/>
          <w:sz w:val="22"/>
        </w:rPr>
        <w:t>Assigning Participation Shares to a referral (voucher spend converted to PXT at market).</w:t>
      </w:r>
    </w:p>
    <w:p>
      <w:pPr>
        <w:pStyle w:val="ListNumber"/>
        <w:numPr>
          <w:ilvl w:val="0"/>
          <w:numId w:val="4"/>
        </w:numPr>
        <w:spacing w:before="0" w:after="60"/>
        <w:ind w:left="504" w:hanging="360"/>
        <w:contextualSpacing/>
        <w:rPr/>
      </w:pPr>
      <w:r>
        <w:rPr>
          <w:rFonts w:eastAsia="Calibri" w:cs="Calibri"/>
          <w:b w:val="false"/>
          <w:i w:val="false"/>
          <w:sz w:val="22"/>
        </w:rPr>
        <w:t>Lottery prizes (USD prize converted to PXT).</w:t>
      </w:r>
    </w:p>
    <w:p>
      <w:pPr>
        <w:pStyle w:val="Normal"/>
        <w:spacing w:lineRule="auto" w:line="276" w:before="0" w:after="160"/>
        <w:rPr/>
      </w:pPr>
      <w:r>
        <w:rPr>
          <w:rFonts w:eastAsia="Calibri" w:cs="Calibri"/>
          <w:b w:val="false"/>
          <w:i w:val="false"/>
          <w:sz w:val="22"/>
        </w:rPr>
        <w:t>Those releases are backoffice operations, not automatic token rules.</w:t>
      </w:r>
    </w:p>
    <w:p>
      <w:pPr>
        <w:pStyle w:val="Normal"/>
        <w:spacing w:lineRule="auto" w:line="276" w:before="0" w:after="160"/>
        <w:rPr/>
      </w:pPr>
      <w:r>
        <w:rPr>
          <w:rFonts w:eastAsia="Calibri" w:cs="Calibri"/>
          <w:b w:val="false"/>
          <w:i w:val="false"/>
          <w:sz w:val="22"/>
        </w:rPr>
        <w:t xml:space="preserve">The presentation also describes </w:t>
      </w:r>
      <w:r>
        <w:rPr>
          <w:rFonts w:eastAsia="Calibri" w:cs="Calibri"/>
          <w:b/>
          <w:i w:val="false"/>
          <w:sz w:val="22"/>
        </w:rPr>
        <w:t>planned burns</w:t>
      </w:r>
      <w:r>
        <w:rPr>
          <w:rFonts w:eastAsia="Calibri" w:cs="Calibri"/>
          <w:b w:val="false"/>
          <w:i w:val="false"/>
          <w:sz w:val="22"/>
        </w:rPr>
        <w:t>. They are not scheduled by the token contract. They happen only if the holder of those tokens burns them:</w:t>
      </w:r>
    </w:p>
    <w:tbl>
      <w:tblPr>
        <w:tblW w:w="9360" w:type="dxa"/>
        <w:jc w:val="center"/>
        <w:tblInd w:w="0" w:type="dxa"/>
        <w:tblLayout w:type="fixed"/>
        <w:tblCellMar>
          <w:top w:w="60" w:type="dxa"/>
          <w:left w:w="80" w:type="dxa"/>
          <w:bottom w:w="60" w:type="dxa"/>
          <w:right w:w="80" w:type="dxa"/>
        </w:tblCellMar>
        <w:tblLook w:val="04a0" w:noHBand="0" w:noVBand="1" w:firstColumn="1" w:lastRow="0" w:lastColumn="0" w:firstRow="1"/>
      </w:tblPr>
      <w:tblGrid>
        <w:gridCol w:w="4680"/>
        <w:gridCol w:w="4679"/>
      </w:tblGrid>
      <w:tr>
        <w:trPr>
          <w:cantSplit w:val="true"/>
        </w:trPr>
        <w:tc>
          <w:tcPr>
            <w:tcW w:w="4680" w:type="dxa"/>
            <w:tcBorders>
              <w:top w:val="single" w:sz="4" w:space="0" w:color="1A2B4A"/>
              <w:left w:val="single" w:sz="4" w:space="0" w:color="1A2B4A"/>
              <w:bottom w:val="single" w:sz="4" w:space="0" w:color="1A2B4A"/>
              <w:right w:val="single" w:sz="4" w:space="0" w:color="1A2B4A"/>
            </w:tcBorders>
            <w:shd w:fill="1A2B4A" w:val="clear"/>
            <w:vAlign w:val="center"/>
          </w:tcPr>
          <w:p>
            <w:pPr>
              <w:pStyle w:val="Normal"/>
              <w:widowControl w:val="false"/>
              <w:spacing w:before="0" w:after="0"/>
              <w:rPr/>
            </w:pPr>
            <w:r>
              <w:rPr>
                <w:rFonts w:eastAsia="Calibri" w:cs="Calibri"/>
                <w:b/>
                <w:i w:val="false"/>
                <w:color w:val="FFFFFF"/>
                <w:sz w:val="20"/>
              </w:rPr>
              <w:t>Trigger (as stated in the presentation)</w:t>
            </w:r>
          </w:p>
        </w:tc>
        <w:tc>
          <w:tcPr>
            <w:tcW w:w="4679" w:type="dxa"/>
            <w:tcBorders>
              <w:top w:val="single" w:sz="4" w:space="0" w:color="1A2B4A"/>
              <w:left w:val="single" w:sz="4" w:space="0" w:color="1A2B4A"/>
              <w:bottom w:val="single" w:sz="4" w:space="0" w:color="1A2B4A"/>
              <w:right w:val="single" w:sz="4" w:space="0" w:color="1A2B4A"/>
            </w:tcBorders>
            <w:shd w:fill="1A2B4A" w:val="clear"/>
            <w:vAlign w:val="center"/>
          </w:tcPr>
          <w:p>
            <w:pPr>
              <w:pStyle w:val="Normal"/>
              <w:widowControl w:val="false"/>
              <w:spacing w:before="0" w:after="0"/>
              <w:rPr/>
            </w:pPr>
            <w:r>
              <w:rPr>
                <w:rFonts w:eastAsia="Calibri" w:cs="Calibri"/>
                <w:b/>
                <w:i w:val="false"/>
                <w:color w:val="FFFFFF"/>
                <w:sz w:val="20"/>
              </w:rPr>
              <w:t>Amount</w:t>
            </w:r>
          </w:p>
        </w:tc>
      </w:tr>
      <w:tr>
        <w:trPr>
          <w:cantSplit w:val="true"/>
        </w:trPr>
        <w:tc>
          <w:tcPr>
            <w:tcW w:w="4680" w:type="dxa"/>
            <w:tcBorders>
              <w:top w:val="single" w:sz="4" w:space="0" w:color="C8C2B8"/>
              <w:left w:val="single" w:sz="4" w:space="0" w:color="C8C2B8"/>
              <w:bottom w:val="single" w:sz="4" w:space="0" w:color="C8C2B8"/>
              <w:right w:val="single" w:sz="4" w:space="0" w:color="C8C2B8"/>
            </w:tcBorders>
            <w:shd w:fill="FFFFFF" w:val="clear"/>
            <w:tcMar>
              <w:top w:w="50" w:type="dxa"/>
              <w:bottom w:w="50" w:type="dxa"/>
            </w:tcMar>
            <w:vAlign w:val="center"/>
          </w:tcPr>
          <w:p>
            <w:pPr>
              <w:pStyle w:val="Normal"/>
              <w:widowControl w:val="false"/>
              <w:spacing w:before="0" w:after="0"/>
              <w:rPr/>
            </w:pPr>
            <w:r>
              <w:rPr>
                <w:rFonts w:eastAsia="Calibri" w:cs="Calibri"/>
                <w:b w:val="false"/>
                <w:i w:val="false"/>
                <w:sz w:val="20"/>
              </w:rPr>
              <w:t>Price reaches 0.0001 USD</w:t>
            </w:r>
          </w:p>
        </w:tc>
        <w:tc>
          <w:tcPr>
            <w:tcW w:w="4679" w:type="dxa"/>
            <w:tcBorders>
              <w:top w:val="single" w:sz="4" w:space="0" w:color="C8C2B8"/>
              <w:left w:val="single" w:sz="4" w:space="0" w:color="C8C2B8"/>
              <w:bottom w:val="single" w:sz="4" w:space="0" w:color="C8C2B8"/>
              <w:right w:val="single" w:sz="4" w:space="0" w:color="C8C2B8"/>
            </w:tcBorders>
            <w:shd w:fill="FFFFFF" w:val="clear"/>
            <w:tcMar>
              <w:top w:w="50" w:type="dxa"/>
              <w:bottom w:w="50" w:type="dxa"/>
            </w:tcMar>
            <w:vAlign w:val="center"/>
          </w:tcPr>
          <w:p>
            <w:pPr>
              <w:pStyle w:val="Normal"/>
              <w:widowControl w:val="false"/>
              <w:spacing w:before="0" w:after="0"/>
              <w:rPr/>
            </w:pPr>
            <w:r>
              <w:rPr>
                <w:rFonts w:eastAsia="Calibri" w:cs="Calibri"/>
                <w:b w:val="false"/>
                <w:i w:val="false"/>
                <w:sz w:val="20"/>
              </w:rPr>
              <w:t>20,000,000,000,000 PXT</w:t>
            </w:r>
          </w:p>
        </w:tc>
      </w:tr>
      <w:tr>
        <w:trPr>
          <w:cantSplit w:val="true"/>
        </w:trPr>
        <w:tc>
          <w:tcPr>
            <w:tcW w:w="4680" w:type="dxa"/>
            <w:tcBorders>
              <w:top w:val="single" w:sz="4" w:space="0" w:color="C8C2B8"/>
              <w:left w:val="single" w:sz="4" w:space="0" w:color="C8C2B8"/>
              <w:bottom w:val="single" w:sz="4" w:space="0" w:color="C8C2B8"/>
              <w:right w:val="single" w:sz="4" w:space="0" w:color="C8C2B8"/>
            </w:tcBorders>
            <w:shd w:fill="F4F1EC" w:val="clear"/>
            <w:tcMar>
              <w:top w:w="50" w:type="dxa"/>
              <w:bottom w:w="50" w:type="dxa"/>
            </w:tcMar>
            <w:vAlign w:val="center"/>
          </w:tcPr>
          <w:p>
            <w:pPr>
              <w:pStyle w:val="Normal"/>
              <w:widowControl w:val="false"/>
              <w:spacing w:before="0" w:after="0"/>
              <w:rPr/>
            </w:pPr>
            <w:r>
              <w:rPr>
                <w:rFonts w:eastAsia="Calibri" w:cs="Calibri"/>
                <w:b w:val="false"/>
                <w:i w:val="false"/>
                <w:sz w:val="20"/>
              </w:rPr>
              <w:t>Price reaches 0.001 USD</w:t>
            </w:r>
          </w:p>
        </w:tc>
        <w:tc>
          <w:tcPr>
            <w:tcW w:w="4679" w:type="dxa"/>
            <w:tcBorders>
              <w:top w:val="single" w:sz="4" w:space="0" w:color="C8C2B8"/>
              <w:left w:val="single" w:sz="4" w:space="0" w:color="C8C2B8"/>
              <w:bottom w:val="single" w:sz="4" w:space="0" w:color="C8C2B8"/>
              <w:right w:val="single" w:sz="4" w:space="0" w:color="C8C2B8"/>
            </w:tcBorders>
            <w:shd w:fill="F4F1EC" w:val="clear"/>
            <w:tcMar>
              <w:top w:w="50" w:type="dxa"/>
              <w:bottom w:w="50" w:type="dxa"/>
            </w:tcMar>
            <w:vAlign w:val="center"/>
          </w:tcPr>
          <w:p>
            <w:pPr>
              <w:pStyle w:val="Normal"/>
              <w:widowControl w:val="false"/>
              <w:spacing w:before="0" w:after="0"/>
              <w:rPr/>
            </w:pPr>
            <w:r>
              <w:rPr>
                <w:rFonts w:eastAsia="Calibri" w:cs="Calibri"/>
                <w:b w:val="false"/>
                <w:i w:val="false"/>
                <w:sz w:val="20"/>
              </w:rPr>
              <w:t>10,000,000,000,000 PXT</w:t>
            </w:r>
          </w:p>
        </w:tc>
      </w:tr>
      <w:tr>
        <w:trPr>
          <w:cantSplit w:val="true"/>
        </w:trPr>
        <w:tc>
          <w:tcPr>
            <w:tcW w:w="4680" w:type="dxa"/>
            <w:tcBorders>
              <w:top w:val="single" w:sz="4" w:space="0" w:color="C8C2B8"/>
              <w:left w:val="single" w:sz="4" w:space="0" w:color="C8C2B8"/>
              <w:bottom w:val="single" w:sz="4" w:space="0" w:color="C8C2B8"/>
              <w:right w:val="single" w:sz="4" w:space="0" w:color="C8C2B8"/>
            </w:tcBorders>
            <w:shd w:fill="FFFFFF" w:val="clear"/>
            <w:tcMar>
              <w:top w:w="50" w:type="dxa"/>
              <w:bottom w:w="50" w:type="dxa"/>
            </w:tcMar>
            <w:vAlign w:val="center"/>
          </w:tcPr>
          <w:p>
            <w:pPr>
              <w:pStyle w:val="Normal"/>
              <w:widowControl w:val="false"/>
              <w:spacing w:before="0" w:after="0"/>
              <w:rPr/>
            </w:pPr>
            <w:r>
              <w:rPr>
                <w:rFonts w:eastAsia="Calibri" w:cs="Calibri"/>
                <w:b w:val="false"/>
                <w:i w:val="false"/>
                <w:sz w:val="20"/>
              </w:rPr>
              <w:t>Price reaches 0.01 USD</w:t>
            </w:r>
          </w:p>
        </w:tc>
        <w:tc>
          <w:tcPr>
            <w:tcW w:w="4679" w:type="dxa"/>
            <w:tcBorders>
              <w:top w:val="single" w:sz="4" w:space="0" w:color="C8C2B8"/>
              <w:left w:val="single" w:sz="4" w:space="0" w:color="C8C2B8"/>
              <w:bottom w:val="single" w:sz="4" w:space="0" w:color="C8C2B8"/>
              <w:right w:val="single" w:sz="4" w:space="0" w:color="C8C2B8"/>
            </w:tcBorders>
            <w:shd w:fill="FFFFFF" w:val="clear"/>
            <w:tcMar>
              <w:top w:w="50" w:type="dxa"/>
              <w:bottom w:w="50" w:type="dxa"/>
            </w:tcMar>
            <w:vAlign w:val="center"/>
          </w:tcPr>
          <w:p>
            <w:pPr>
              <w:pStyle w:val="Normal"/>
              <w:widowControl w:val="false"/>
              <w:spacing w:before="0" w:after="0"/>
              <w:rPr/>
            </w:pPr>
            <w:r>
              <w:rPr>
                <w:rFonts w:eastAsia="Calibri" w:cs="Calibri"/>
                <w:b w:val="false"/>
                <w:i w:val="false"/>
                <w:sz w:val="20"/>
              </w:rPr>
              <w:t>5,000,000,000,000 PXT</w:t>
            </w:r>
          </w:p>
        </w:tc>
      </w:tr>
      <w:tr>
        <w:trPr>
          <w:cantSplit w:val="true"/>
        </w:trPr>
        <w:tc>
          <w:tcPr>
            <w:tcW w:w="4680" w:type="dxa"/>
            <w:tcBorders>
              <w:top w:val="single" w:sz="4" w:space="0" w:color="C8C2B8"/>
              <w:left w:val="single" w:sz="4" w:space="0" w:color="C8C2B8"/>
              <w:bottom w:val="single" w:sz="4" w:space="0" w:color="C8C2B8"/>
              <w:right w:val="single" w:sz="4" w:space="0" w:color="C8C2B8"/>
            </w:tcBorders>
            <w:shd w:fill="F4F1EC" w:val="clear"/>
            <w:tcMar>
              <w:top w:w="50" w:type="dxa"/>
              <w:bottom w:w="50" w:type="dxa"/>
            </w:tcMar>
            <w:vAlign w:val="center"/>
          </w:tcPr>
          <w:p>
            <w:pPr>
              <w:pStyle w:val="Normal"/>
              <w:widowControl w:val="false"/>
              <w:spacing w:before="0" w:after="0"/>
              <w:rPr/>
            </w:pPr>
            <w:r>
              <w:rPr>
                <w:rFonts w:eastAsia="Calibri" w:cs="Calibri"/>
                <w:b w:val="false"/>
                <w:i w:val="false"/>
                <w:sz w:val="20"/>
              </w:rPr>
              <w:t>30 August 2027</w:t>
            </w:r>
          </w:p>
        </w:tc>
        <w:tc>
          <w:tcPr>
            <w:tcW w:w="4679" w:type="dxa"/>
            <w:tcBorders>
              <w:top w:val="single" w:sz="4" w:space="0" w:color="C8C2B8"/>
              <w:left w:val="single" w:sz="4" w:space="0" w:color="C8C2B8"/>
              <w:bottom w:val="single" w:sz="4" w:space="0" w:color="C8C2B8"/>
              <w:right w:val="single" w:sz="4" w:space="0" w:color="C8C2B8"/>
            </w:tcBorders>
            <w:shd w:fill="F4F1EC" w:val="clear"/>
            <w:tcMar>
              <w:top w:w="50" w:type="dxa"/>
              <w:bottom w:w="50" w:type="dxa"/>
            </w:tcMar>
            <w:vAlign w:val="center"/>
          </w:tcPr>
          <w:p>
            <w:pPr>
              <w:pStyle w:val="Normal"/>
              <w:widowControl w:val="false"/>
              <w:spacing w:before="0" w:after="0"/>
              <w:rPr/>
            </w:pPr>
            <w:r>
              <w:rPr>
                <w:rFonts w:eastAsia="Calibri" w:cs="Calibri"/>
                <w:b w:val="false"/>
                <w:i w:val="false"/>
                <w:sz w:val="20"/>
              </w:rPr>
              <w:t>first of three annual burns</w:t>
            </w:r>
          </w:p>
        </w:tc>
      </w:tr>
      <w:tr>
        <w:trPr>
          <w:cantSplit w:val="true"/>
        </w:trPr>
        <w:tc>
          <w:tcPr>
            <w:tcW w:w="4680" w:type="dxa"/>
            <w:tcBorders>
              <w:top w:val="single" w:sz="4" w:space="0" w:color="C8C2B8"/>
              <w:left w:val="single" w:sz="4" w:space="0" w:color="C8C2B8"/>
              <w:bottom w:val="single" w:sz="4" w:space="0" w:color="C8C2B8"/>
              <w:right w:val="single" w:sz="4" w:space="0" w:color="C8C2B8"/>
            </w:tcBorders>
            <w:shd w:fill="FFFFFF" w:val="clear"/>
            <w:tcMar>
              <w:top w:w="50" w:type="dxa"/>
              <w:bottom w:w="50" w:type="dxa"/>
            </w:tcMar>
            <w:vAlign w:val="center"/>
          </w:tcPr>
          <w:p>
            <w:pPr>
              <w:pStyle w:val="Normal"/>
              <w:widowControl w:val="false"/>
              <w:spacing w:before="0" w:after="0"/>
              <w:rPr/>
            </w:pPr>
            <w:r>
              <w:rPr>
                <w:rFonts w:eastAsia="Calibri" w:cs="Calibri"/>
                <w:b w:val="false"/>
                <w:i w:val="false"/>
                <w:sz w:val="20"/>
              </w:rPr>
              <w:t>30 August 2028</w:t>
            </w:r>
          </w:p>
        </w:tc>
        <w:tc>
          <w:tcPr>
            <w:tcW w:w="4679" w:type="dxa"/>
            <w:tcBorders>
              <w:top w:val="single" w:sz="4" w:space="0" w:color="C8C2B8"/>
              <w:left w:val="single" w:sz="4" w:space="0" w:color="C8C2B8"/>
              <w:bottom w:val="single" w:sz="4" w:space="0" w:color="C8C2B8"/>
              <w:right w:val="single" w:sz="4" w:space="0" w:color="C8C2B8"/>
            </w:tcBorders>
            <w:shd w:fill="FFFFFF" w:val="clear"/>
            <w:tcMar>
              <w:top w:w="50" w:type="dxa"/>
              <w:bottom w:w="50" w:type="dxa"/>
            </w:tcMar>
            <w:vAlign w:val="center"/>
          </w:tcPr>
          <w:p>
            <w:pPr>
              <w:pStyle w:val="Normal"/>
              <w:widowControl w:val="false"/>
              <w:spacing w:before="0" w:after="0"/>
              <w:rPr/>
            </w:pPr>
            <w:r>
              <w:rPr>
                <w:rFonts w:eastAsia="Calibri" w:cs="Calibri"/>
                <w:b w:val="false"/>
                <w:i w:val="false"/>
                <w:sz w:val="20"/>
              </w:rPr>
              <w:t>second annual burn</w:t>
            </w:r>
          </w:p>
        </w:tc>
      </w:tr>
      <w:tr>
        <w:trPr>
          <w:cantSplit w:val="true"/>
        </w:trPr>
        <w:tc>
          <w:tcPr>
            <w:tcW w:w="4680" w:type="dxa"/>
            <w:tcBorders>
              <w:top w:val="single" w:sz="4" w:space="0" w:color="C8C2B8"/>
              <w:left w:val="single" w:sz="4" w:space="0" w:color="C8C2B8"/>
              <w:bottom w:val="single" w:sz="4" w:space="0" w:color="C8C2B8"/>
              <w:right w:val="single" w:sz="4" w:space="0" w:color="C8C2B8"/>
            </w:tcBorders>
            <w:shd w:fill="F4F1EC" w:val="clear"/>
            <w:tcMar>
              <w:top w:w="50" w:type="dxa"/>
              <w:bottom w:w="50" w:type="dxa"/>
            </w:tcMar>
            <w:vAlign w:val="center"/>
          </w:tcPr>
          <w:p>
            <w:pPr>
              <w:pStyle w:val="Normal"/>
              <w:widowControl w:val="false"/>
              <w:spacing w:before="0" w:after="0"/>
              <w:rPr/>
            </w:pPr>
            <w:r>
              <w:rPr>
                <w:rFonts w:eastAsia="Calibri" w:cs="Calibri"/>
                <w:b w:val="false"/>
                <w:i w:val="false"/>
                <w:sz w:val="20"/>
              </w:rPr>
              <w:t>30 August 2029</w:t>
            </w:r>
          </w:p>
        </w:tc>
        <w:tc>
          <w:tcPr>
            <w:tcW w:w="4679" w:type="dxa"/>
            <w:tcBorders>
              <w:top w:val="single" w:sz="4" w:space="0" w:color="C8C2B8"/>
              <w:left w:val="single" w:sz="4" w:space="0" w:color="C8C2B8"/>
              <w:bottom w:val="single" w:sz="4" w:space="0" w:color="C8C2B8"/>
              <w:right w:val="single" w:sz="4" w:space="0" w:color="C8C2B8"/>
            </w:tcBorders>
            <w:shd w:fill="F4F1EC" w:val="clear"/>
            <w:tcMar>
              <w:top w:w="50" w:type="dxa"/>
              <w:bottom w:w="50" w:type="dxa"/>
            </w:tcMar>
            <w:vAlign w:val="center"/>
          </w:tcPr>
          <w:p>
            <w:pPr>
              <w:pStyle w:val="Normal"/>
              <w:widowControl w:val="false"/>
              <w:spacing w:before="0" w:after="0"/>
              <w:rPr/>
            </w:pPr>
            <w:r>
              <w:rPr>
                <w:rFonts w:eastAsia="Calibri" w:cs="Calibri"/>
                <w:b w:val="false"/>
                <w:i w:val="false"/>
                <w:sz w:val="20"/>
              </w:rPr>
              <w:t>third annual burn</w:t>
            </w:r>
          </w:p>
        </w:tc>
      </w:tr>
    </w:tbl>
    <w:p>
      <w:pPr>
        <w:pStyle w:val="Normal"/>
        <w:spacing w:before="0" w:after="160"/>
        <w:rPr/>
      </w:pPr>
      <w:r>
        <w:rPr/>
      </w:r>
    </w:p>
    <w:p>
      <w:pPr>
        <w:pStyle w:val="Normal"/>
        <w:spacing w:lineRule="auto" w:line="276" w:before="0" w:after="160"/>
        <w:rPr/>
      </w:pPr>
      <w:r>
        <w:rPr>
          <w:rFonts w:eastAsia="Calibri" w:cs="Calibri"/>
          <w:b w:val="false"/>
          <w:i w:val="false"/>
          <w:sz w:val="22"/>
        </w:rPr>
        <w:t>Circulating supply is total supply minus burned tokens minus tokens still held in uncirculated operational wallets. This paper does not publish a circulating figure.</w:t>
      </w:r>
    </w:p>
    <w:p>
      <w:pPr>
        <w:pStyle w:val="Heading1"/>
        <w:rPr/>
      </w:pPr>
      <w:r>
        <w:rPr/>
        <w:t>9. Operational phases</w:t>
      </w:r>
    </w:p>
    <w:p>
      <w:pPr>
        <w:pStyle w:val="Normal"/>
        <w:spacing w:lineRule="auto" w:line="276" w:before="0" w:after="160"/>
        <w:rPr/>
      </w:pPr>
      <w:r>
        <w:rPr>
          <w:rFonts w:eastAsia="Calibri" w:cs="Calibri"/>
          <w:b w:val="false"/>
          <w:i w:val="false"/>
          <w:sz w:val="22"/>
        </w:rPr>
        <w:t>The on-chain change is the sell unlock on 1 March 2027.</w:t>
      </w:r>
    </w:p>
    <w:p>
      <w:pPr>
        <w:pStyle w:val="Normal"/>
        <w:spacing w:lineRule="auto" w:line="276" w:before="0" w:after="160"/>
        <w:rPr/>
      </w:pPr>
      <w:r>
        <w:rPr>
          <w:rFonts w:eastAsia="Calibri" w:cs="Calibri"/>
          <w:b w:val="false"/>
          <w:i w:val="false"/>
          <w:sz w:val="22"/>
        </w:rPr>
        <w:t>The official presentation describes two platform phases.</w:t>
      </w:r>
    </w:p>
    <w:p>
      <w:pPr>
        <w:pStyle w:val="Normal"/>
        <w:spacing w:lineRule="auto" w:line="276" w:before="0" w:after="160"/>
        <w:rPr/>
      </w:pPr>
      <w:r>
        <w:rPr>
          <w:rFonts w:eastAsia="Calibri" w:cs="Calibri"/>
          <w:b/>
          <w:i w:val="false"/>
          <w:sz w:val="22"/>
        </w:rPr>
        <w:t>Phase one</w:t>
      </w:r>
      <w:r>
        <w:rPr>
          <w:rFonts w:eastAsia="Calibri" w:cs="Calibri"/>
          <w:b w:val="false"/>
          <w:i w:val="false"/>
          <w:sz w:val="22"/>
        </w:rPr>
        <w:t xml:space="preserve"> (1 June 2026 – 28 February 2027). The token was connected to the backoffice on </w:t>
      </w:r>
      <w:r>
        <w:rPr>
          <w:rFonts w:eastAsia="Calibri" w:cs="Calibri"/>
          <w:b/>
          <w:i w:val="false"/>
          <w:sz w:val="22"/>
        </w:rPr>
        <w:t>6 September 2026</w:t>
      </w:r>
      <w:r>
        <w:rPr>
          <w:rFonts w:eastAsia="Calibri" w:cs="Calibri"/>
          <w:b w:val="false"/>
          <w:i w:val="false"/>
          <w:sz w:val="22"/>
        </w:rPr>
        <w:t xml:space="preserve">. Each Participation Share accrues </w:t>
      </w:r>
      <w:r>
        <w:rPr>
          <w:rFonts w:eastAsia="Calibri" w:cs="Calibri"/>
          <w:b/>
          <w:i w:val="false"/>
          <w:sz w:val="22"/>
        </w:rPr>
        <w:t>0.50 USD per day</w:t>
      </w:r>
      <w:r>
        <w:rPr>
          <w:rFonts w:eastAsia="Calibri" w:cs="Calibri"/>
          <w:b w:val="false"/>
          <w:i w:val="false"/>
          <w:sz w:val="22"/>
        </w:rPr>
        <w:t xml:space="preserve"> into three balances (converted to PXT at market when moved):</w:t>
      </w:r>
    </w:p>
    <w:tbl>
      <w:tblPr>
        <w:tblW w:w="9360" w:type="dxa"/>
        <w:jc w:val="center"/>
        <w:tblInd w:w="0" w:type="dxa"/>
        <w:tblLayout w:type="fixed"/>
        <w:tblCellMar>
          <w:top w:w="60" w:type="dxa"/>
          <w:left w:w="80" w:type="dxa"/>
          <w:bottom w:w="60" w:type="dxa"/>
          <w:right w:w="80" w:type="dxa"/>
        </w:tblCellMar>
        <w:tblLook w:val="04a0" w:noHBand="0" w:noVBand="1" w:firstColumn="1" w:lastRow="0" w:lastColumn="0" w:firstRow="1"/>
      </w:tblPr>
      <w:tblGrid>
        <w:gridCol w:w="4680"/>
        <w:gridCol w:w="4679"/>
      </w:tblGrid>
      <w:tr>
        <w:trPr>
          <w:cantSplit w:val="true"/>
        </w:trPr>
        <w:tc>
          <w:tcPr>
            <w:tcW w:w="4680" w:type="dxa"/>
            <w:tcBorders>
              <w:top w:val="single" w:sz="4" w:space="0" w:color="1A2B4A"/>
              <w:left w:val="single" w:sz="4" w:space="0" w:color="1A2B4A"/>
              <w:bottom w:val="single" w:sz="4" w:space="0" w:color="1A2B4A"/>
              <w:right w:val="single" w:sz="4" w:space="0" w:color="1A2B4A"/>
            </w:tcBorders>
            <w:shd w:fill="1A2B4A" w:val="clear"/>
            <w:vAlign w:val="center"/>
          </w:tcPr>
          <w:p>
            <w:pPr>
              <w:pStyle w:val="Normal"/>
              <w:widowControl w:val="false"/>
              <w:spacing w:before="0" w:after="0"/>
              <w:rPr/>
            </w:pPr>
            <w:r>
              <w:rPr>
                <w:rFonts w:eastAsia="Calibri" w:cs="Calibri"/>
                <w:b/>
                <w:i w:val="false"/>
                <w:color w:val="FFFFFF"/>
                <w:sz w:val="20"/>
              </w:rPr>
              <w:t>Balance</w:t>
            </w:r>
          </w:p>
        </w:tc>
        <w:tc>
          <w:tcPr>
            <w:tcW w:w="4679" w:type="dxa"/>
            <w:tcBorders>
              <w:top w:val="single" w:sz="4" w:space="0" w:color="1A2B4A"/>
              <w:left w:val="single" w:sz="4" w:space="0" w:color="1A2B4A"/>
              <w:bottom w:val="single" w:sz="4" w:space="0" w:color="1A2B4A"/>
              <w:right w:val="single" w:sz="4" w:space="0" w:color="1A2B4A"/>
            </w:tcBorders>
            <w:shd w:fill="1A2B4A" w:val="clear"/>
            <w:vAlign w:val="center"/>
          </w:tcPr>
          <w:p>
            <w:pPr>
              <w:pStyle w:val="Normal"/>
              <w:widowControl w:val="false"/>
              <w:spacing w:before="0" w:after="0"/>
              <w:rPr/>
            </w:pPr>
            <w:r>
              <w:rPr>
                <w:rFonts w:eastAsia="Calibri" w:cs="Calibri"/>
                <w:b/>
                <w:i w:val="false"/>
                <w:color w:val="FFFFFF"/>
                <w:sz w:val="20"/>
              </w:rPr>
              <w:t>Use</w:t>
            </w:r>
          </w:p>
        </w:tc>
      </w:tr>
      <w:tr>
        <w:trPr>
          <w:cantSplit w:val="true"/>
        </w:trPr>
        <w:tc>
          <w:tcPr>
            <w:tcW w:w="4680" w:type="dxa"/>
            <w:tcBorders>
              <w:top w:val="single" w:sz="4" w:space="0" w:color="C8C2B8"/>
              <w:left w:val="single" w:sz="4" w:space="0" w:color="C8C2B8"/>
              <w:bottom w:val="single" w:sz="4" w:space="0" w:color="C8C2B8"/>
              <w:right w:val="single" w:sz="4" w:space="0" w:color="C8C2B8"/>
            </w:tcBorders>
            <w:shd w:fill="FFFFFF" w:val="clear"/>
            <w:tcMar>
              <w:top w:w="50" w:type="dxa"/>
              <w:bottom w:w="50" w:type="dxa"/>
            </w:tcMar>
            <w:vAlign w:val="center"/>
          </w:tcPr>
          <w:p>
            <w:pPr>
              <w:pStyle w:val="Normal"/>
              <w:widowControl w:val="false"/>
              <w:spacing w:before="0" w:after="0"/>
              <w:rPr/>
            </w:pPr>
            <w:r>
              <w:rPr>
                <w:rFonts w:eastAsia="Calibri" w:cs="Calibri"/>
                <w:b w:val="false"/>
                <w:i w:val="false"/>
                <w:sz w:val="20"/>
              </w:rPr>
              <w:t>Rewards</w:t>
            </w:r>
          </w:p>
        </w:tc>
        <w:tc>
          <w:tcPr>
            <w:tcW w:w="4679" w:type="dxa"/>
            <w:tcBorders>
              <w:top w:val="single" w:sz="4" w:space="0" w:color="C8C2B8"/>
              <w:left w:val="single" w:sz="4" w:space="0" w:color="C8C2B8"/>
              <w:bottom w:val="single" w:sz="4" w:space="0" w:color="C8C2B8"/>
              <w:right w:val="single" w:sz="4" w:space="0" w:color="C8C2B8"/>
            </w:tcBorders>
            <w:shd w:fill="FFFFFF" w:val="clear"/>
            <w:tcMar>
              <w:top w:w="50" w:type="dxa"/>
              <w:bottom w:w="50" w:type="dxa"/>
            </w:tcMar>
            <w:vAlign w:val="center"/>
          </w:tcPr>
          <w:p>
            <w:pPr>
              <w:pStyle w:val="Normal"/>
              <w:widowControl w:val="false"/>
              <w:spacing w:before="0" w:after="0"/>
              <w:rPr/>
            </w:pPr>
            <w:r>
              <w:rPr>
                <w:rFonts w:eastAsia="Calibri" w:cs="Calibri"/>
                <w:b w:val="false"/>
                <w:i w:val="false"/>
                <w:sz w:val="20"/>
              </w:rPr>
              <w:t>Move to the main wallet on the 1st and 15th; then to an external wallet or reinvest. Daily external withdrawals are capped at PXT worth 500 USD (regular) or 750 USD (VIP).</w:t>
            </w:r>
          </w:p>
        </w:tc>
      </w:tr>
      <w:tr>
        <w:trPr>
          <w:cantSplit w:val="true"/>
        </w:trPr>
        <w:tc>
          <w:tcPr>
            <w:tcW w:w="4680" w:type="dxa"/>
            <w:tcBorders>
              <w:top w:val="single" w:sz="4" w:space="0" w:color="C8C2B8"/>
              <w:left w:val="single" w:sz="4" w:space="0" w:color="C8C2B8"/>
              <w:bottom w:val="single" w:sz="4" w:space="0" w:color="C8C2B8"/>
              <w:right w:val="single" w:sz="4" w:space="0" w:color="C8C2B8"/>
            </w:tcBorders>
            <w:shd w:fill="F4F1EC" w:val="clear"/>
            <w:tcMar>
              <w:top w:w="50" w:type="dxa"/>
              <w:bottom w:w="50" w:type="dxa"/>
            </w:tcMar>
            <w:vAlign w:val="center"/>
          </w:tcPr>
          <w:p>
            <w:pPr>
              <w:pStyle w:val="Normal"/>
              <w:widowControl w:val="false"/>
              <w:spacing w:before="0" w:after="0"/>
              <w:rPr/>
            </w:pPr>
            <w:r>
              <w:rPr>
                <w:rFonts w:eastAsia="Calibri" w:cs="Calibri"/>
                <w:b w:val="false"/>
                <w:i w:val="false"/>
                <w:sz w:val="20"/>
              </w:rPr>
              <w:t>Vouchers</w:t>
            </w:r>
          </w:p>
        </w:tc>
        <w:tc>
          <w:tcPr>
            <w:tcW w:w="4679" w:type="dxa"/>
            <w:tcBorders>
              <w:top w:val="single" w:sz="4" w:space="0" w:color="C8C2B8"/>
              <w:left w:val="single" w:sz="4" w:space="0" w:color="C8C2B8"/>
              <w:bottom w:val="single" w:sz="4" w:space="0" w:color="C8C2B8"/>
              <w:right w:val="single" w:sz="4" w:space="0" w:color="C8C2B8"/>
            </w:tcBorders>
            <w:shd w:fill="F4F1EC" w:val="clear"/>
            <w:tcMar>
              <w:top w:w="50" w:type="dxa"/>
              <w:bottom w:w="50" w:type="dxa"/>
            </w:tcMar>
            <w:vAlign w:val="center"/>
          </w:tcPr>
          <w:p>
            <w:pPr>
              <w:pStyle w:val="Normal"/>
              <w:widowControl w:val="false"/>
              <w:spacing w:before="0" w:after="0"/>
              <w:rPr/>
            </w:pPr>
            <w:r>
              <w:rPr>
                <w:rFonts w:eastAsia="Calibri" w:cs="Calibri"/>
                <w:b w:val="false"/>
                <w:i w:val="false"/>
                <w:sz w:val="20"/>
              </w:rPr>
              <w:t>Pay sponsored shares for referrals. Unused voucher balance is forfeited at month end.</w:t>
            </w:r>
          </w:p>
        </w:tc>
      </w:tr>
      <w:tr>
        <w:trPr>
          <w:cantSplit w:val="true"/>
        </w:trPr>
        <w:tc>
          <w:tcPr>
            <w:tcW w:w="4680" w:type="dxa"/>
            <w:tcBorders>
              <w:top w:val="single" w:sz="4" w:space="0" w:color="C8C2B8"/>
              <w:left w:val="single" w:sz="4" w:space="0" w:color="C8C2B8"/>
              <w:bottom w:val="single" w:sz="4" w:space="0" w:color="C8C2B8"/>
              <w:right w:val="single" w:sz="4" w:space="0" w:color="C8C2B8"/>
            </w:tcBorders>
            <w:shd w:fill="FFFFFF" w:val="clear"/>
            <w:tcMar>
              <w:top w:w="50" w:type="dxa"/>
              <w:bottom w:w="50" w:type="dxa"/>
            </w:tcMar>
            <w:vAlign w:val="center"/>
          </w:tcPr>
          <w:p>
            <w:pPr>
              <w:pStyle w:val="Normal"/>
              <w:widowControl w:val="false"/>
              <w:spacing w:before="0" w:after="0"/>
              <w:rPr/>
            </w:pPr>
            <w:r>
              <w:rPr>
                <w:rFonts w:eastAsia="Calibri" w:cs="Calibri"/>
                <w:b w:val="false"/>
                <w:i w:val="false"/>
                <w:sz w:val="20"/>
              </w:rPr>
              <w:t>Staking</w:t>
            </w:r>
          </w:p>
        </w:tc>
        <w:tc>
          <w:tcPr>
            <w:tcW w:w="4679" w:type="dxa"/>
            <w:tcBorders>
              <w:top w:val="single" w:sz="4" w:space="0" w:color="C8C2B8"/>
              <w:left w:val="single" w:sz="4" w:space="0" w:color="C8C2B8"/>
              <w:bottom w:val="single" w:sz="4" w:space="0" w:color="C8C2B8"/>
              <w:right w:val="single" w:sz="4" w:space="0" w:color="C8C2B8"/>
            </w:tcBorders>
            <w:shd w:fill="FFFFFF" w:val="clear"/>
            <w:tcMar>
              <w:top w:w="50" w:type="dxa"/>
              <w:bottom w:w="50" w:type="dxa"/>
            </w:tcMar>
            <w:vAlign w:val="center"/>
          </w:tcPr>
          <w:p>
            <w:pPr>
              <w:pStyle w:val="Normal"/>
              <w:widowControl w:val="false"/>
              <w:spacing w:before="0" w:after="0"/>
              <w:rPr/>
            </w:pPr>
            <w:r>
              <w:rPr>
                <w:rFonts w:eastAsia="Calibri" w:cs="Calibri"/>
                <w:b w:val="false"/>
                <w:i w:val="false"/>
                <w:sz w:val="20"/>
              </w:rPr>
              <w:t>At month end, moved to a centralized staking pool for 365 days at 4% annual interest.</w:t>
            </w:r>
          </w:p>
        </w:tc>
      </w:tr>
    </w:tbl>
    <w:p>
      <w:pPr>
        <w:pStyle w:val="Normal"/>
        <w:spacing w:before="0" w:after="160"/>
        <w:rPr/>
      </w:pPr>
      <w:r>
        <w:rPr/>
      </w:r>
    </w:p>
    <w:p>
      <w:pPr>
        <w:pStyle w:val="Normal"/>
        <w:spacing w:lineRule="auto" w:line="276" w:before="0" w:after="160"/>
        <w:rPr/>
      </w:pPr>
      <w:r>
        <w:rPr>
          <w:rFonts w:eastAsia="Calibri" w:cs="Calibri"/>
          <w:b w:val="false"/>
          <w:i w:val="false"/>
          <w:sz w:val="22"/>
        </w:rPr>
        <w:t>Phase-one revenue, as stated in the presentation, comes from acquiring liquidity for PXT.</w:t>
      </w:r>
    </w:p>
    <w:p>
      <w:pPr>
        <w:pStyle w:val="Normal"/>
        <w:spacing w:lineRule="auto" w:line="276" w:before="0" w:after="160"/>
        <w:rPr/>
      </w:pPr>
      <w:r>
        <w:rPr>
          <w:rFonts w:eastAsia="Calibri" w:cs="Calibri"/>
          <w:b/>
          <w:i w:val="false"/>
          <w:sz w:val="22"/>
        </w:rPr>
        <w:t>Phase two</w:t>
      </w:r>
      <w:r>
        <w:rPr>
          <w:rFonts w:eastAsia="Calibri" w:cs="Calibri"/>
          <w:b w:val="false"/>
          <w:i w:val="false"/>
          <w:sz w:val="22"/>
        </w:rPr>
        <w:t xml:space="preserve"> (from 1 March 2027, the same day sells unlock). The backoffice uses Rewards and Staking. Daily reward per share is stated as 1.2% of the share’s investment value (rewards) and 0.5% in PXT (staking), converted at the PXT/USDC rate. Reward balances are stated to hold USDC once selling is open. Vouchers become optional spend from the reward balance.</w:t>
      </w:r>
    </w:p>
    <w:p>
      <w:pPr>
        <w:pStyle w:val="Heading1"/>
        <w:rPr/>
      </w:pPr>
      <w:r>
        <w:rPr/>
        <w:t>10. Participation Shares</w:t>
      </w:r>
    </w:p>
    <w:p>
      <w:pPr>
        <w:pStyle w:val="Normal"/>
        <w:spacing w:lineRule="auto" w:line="276" w:before="0" w:after="80"/>
        <w:rPr/>
      </w:pPr>
      <w:r>
        <w:rPr>
          <w:rFonts w:eastAsia="Calibri" w:cs="Calibri"/>
          <w:b w:val="false"/>
          <w:i w:val="false"/>
          <w:sz w:val="22"/>
        </w:rPr>
        <w:t>The following is the membership model from the official presentation. It is not a token on the blockchain.</w:t>
      </w:r>
    </w:p>
    <w:p>
      <w:pPr>
        <w:pStyle w:val="ListBullet"/>
        <w:numPr>
          <w:ilvl w:val="0"/>
          <w:numId w:val="1"/>
        </w:numPr>
        <w:spacing w:before="0" w:after="60"/>
        <w:ind w:left="504" w:hanging="360"/>
        <w:contextualSpacing/>
        <w:rPr/>
      </w:pPr>
      <w:r>
        <w:rPr>
          <w:rFonts w:eastAsia="Calibri" w:cs="Calibri"/>
          <w:b w:val="false"/>
          <w:i w:val="false"/>
          <w:sz w:val="22"/>
        </w:rPr>
        <w:t xml:space="preserve">Unit: </w:t>
      </w:r>
      <w:r>
        <w:rPr>
          <w:rFonts w:eastAsia="Calibri" w:cs="Calibri"/>
          <w:b/>
          <w:i w:val="false"/>
          <w:sz w:val="22"/>
        </w:rPr>
        <w:t>Participation Share</w:t>
      </w:r>
      <w:r>
        <w:rPr>
          <w:rFonts w:eastAsia="Calibri" w:cs="Calibri"/>
          <w:b w:val="false"/>
          <w:i w:val="false"/>
          <w:sz w:val="22"/>
        </w:rPr>
        <w:t>.</w:t>
      </w:r>
    </w:p>
    <w:p>
      <w:pPr>
        <w:pStyle w:val="ListBullet"/>
        <w:numPr>
          <w:ilvl w:val="0"/>
          <w:numId w:val="1"/>
        </w:numPr>
        <w:spacing w:before="0" w:after="60"/>
        <w:ind w:left="504" w:hanging="360"/>
        <w:contextualSpacing/>
        <w:rPr/>
      </w:pPr>
      <w:r>
        <w:rPr>
          <w:rFonts w:eastAsia="Calibri" w:cs="Calibri"/>
          <w:b w:val="false"/>
          <w:i w:val="false"/>
          <w:sz w:val="22"/>
        </w:rPr>
        <w:t xml:space="preserve">First rent: </w:t>
      </w:r>
      <w:r>
        <w:rPr>
          <w:rFonts w:eastAsia="Calibri" w:cs="Calibri"/>
          <w:b/>
          <w:i w:val="false"/>
          <w:sz w:val="22"/>
        </w:rPr>
        <w:t>25 USD</w:t>
      </w:r>
      <w:r>
        <w:rPr>
          <w:rFonts w:eastAsia="Calibri" w:cs="Calibri"/>
          <w:b w:val="false"/>
          <w:i w:val="false"/>
          <w:sz w:val="22"/>
        </w:rPr>
        <w:t xml:space="preserve">, activation within 24 hours, </w:t>
      </w:r>
      <w:r>
        <w:rPr>
          <w:rFonts w:eastAsia="Calibri" w:cs="Calibri"/>
          <w:b/>
          <w:i w:val="false"/>
          <w:sz w:val="22"/>
        </w:rPr>
        <w:t>89 days</w:t>
      </w:r>
      <w:r>
        <w:rPr>
          <w:rFonts w:eastAsia="Calibri" w:cs="Calibri"/>
          <w:b w:val="false"/>
          <w:i w:val="false"/>
          <w:sz w:val="22"/>
        </w:rPr>
        <w:t xml:space="preserve"> of production.</w:t>
      </w:r>
    </w:p>
    <w:p>
      <w:pPr>
        <w:pStyle w:val="ListBullet"/>
        <w:numPr>
          <w:ilvl w:val="0"/>
          <w:numId w:val="1"/>
        </w:numPr>
        <w:spacing w:before="0" w:after="60"/>
        <w:ind w:left="504" w:hanging="360"/>
        <w:contextualSpacing/>
        <w:rPr/>
      </w:pPr>
      <w:r>
        <w:rPr>
          <w:rFonts w:eastAsia="Calibri" w:cs="Calibri"/>
          <w:b w:val="false"/>
          <w:i w:val="false"/>
          <w:sz w:val="22"/>
        </w:rPr>
        <w:t xml:space="preserve">Renewal: </w:t>
      </w:r>
      <w:r>
        <w:rPr>
          <w:rFonts w:eastAsia="Calibri" w:cs="Calibri"/>
          <w:b/>
          <w:i w:val="false"/>
          <w:sz w:val="22"/>
        </w:rPr>
        <w:t>20 USD</w:t>
      </w:r>
      <w:r>
        <w:rPr>
          <w:rFonts w:eastAsia="Calibri" w:cs="Calibri"/>
          <w:b w:val="false"/>
          <w:i w:val="false"/>
          <w:sz w:val="22"/>
        </w:rPr>
        <w:t xml:space="preserve">, instant activation, </w:t>
      </w:r>
      <w:r>
        <w:rPr>
          <w:rFonts w:eastAsia="Calibri" w:cs="Calibri"/>
          <w:b/>
          <w:i w:val="false"/>
          <w:sz w:val="22"/>
        </w:rPr>
        <w:t>90 days</w:t>
      </w:r>
      <w:r>
        <w:rPr>
          <w:rFonts w:eastAsia="Calibri" w:cs="Calibri"/>
          <w:b w:val="false"/>
          <w:i w:val="false"/>
          <w:sz w:val="22"/>
        </w:rPr>
        <w:t xml:space="preserve"> of production.</w:t>
      </w:r>
    </w:p>
    <w:p>
      <w:pPr>
        <w:pStyle w:val="ListBullet"/>
        <w:numPr>
          <w:ilvl w:val="0"/>
          <w:numId w:val="1"/>
        </w:numPr>
        <w:spacing w:before="0" w:after="60"/>
        <w:ind w:left="504" w:hanging="360"/>
        <w:contextualSpacing/>
        <w:rPr/>
      </w:pPr>
      <w:r>
        <w:rPr>
          <w:rFonts w:eastAsia="Calibri" w:cs="Calibri"/>
          <w:b w:val="false"/>
          <w:i w:val="false"/>
          <w:sz w:val="22"/>
        </w:rPr>
        <w:t xml:space="preserve">Maximum </w:t>
      </w:r>
      <w:r>
        <w:rPr>
          <w:rFonts w:eastAsia="Calibri" w:cs="Calibri"/>
          <w:b/>
          <w:i w:val="false"/>
          <w:sz w:val="22"/>
        </w:rPr>
        <w:t>2,000</w:t>
      </w:r>
      <w:r>
        <w:rPr>
          <w:rFonts w:eastAsia="Calibri" w:cs="Calibri"/>
          <w:b w:val="false"/>
          <w:i w:val="false"/>
          <w:sz w:val="22"/>
        </w:rPr>
        <w:t xml:space="preserve"> shares per account.</w:t>
      </w:r>
    </w:p>
    <w:p>
      <w:pPr>
        <w:pStyle w:val="ListBullet"/>
        <w:numPr>
          <w:ilvl w:val="0"/>
          <w:numId w:val="1"/>
        </w:numPr>
        <w:spacing w:before="0" w:after="60"/>
        <w:ind w:left="504" w:hanging="360"/>
        <w:contextualSpacing/>
        <w:rPr/>
      </w:pPr>
      <w:r>
        <w:rPr>
          <w:rFonts w:eastAsia="Calibri" w:cs="Calibri"/>
          <w:b w:val="false"/>
          <w:i w:val="false"/>
          <w:sz w:val="22"/>
        </w:rPr>
        <w:t xml:space="preserve">Annual </w:t>
      </w:r>
      <w:r>
        <w:rPr>
          <w:rFonts w:eastAsia="Calibri" w:cs="Calibri"/>
          <w:b/>
          <w:i w:val="false"/>
          <w:sz w:val="22"/>
        </w:rPr>
        <w:t>maintenance fee: 20 USD</w:t>
      </w:r>
      <w:r>
        <w:rPr>
          <w:rFonts w:eastAsia="Calibri" w:cs="Calibri"/>
          <w:b w:val="false"/>
          <w:i w:val="false"/>
          <w:sz w:val="22"/>
        </w:rPr>
        <w:t xml:space="preserve"> (mandatory), for servers, hosting, staff, and development as stated in the presentation.</w:t>
      </w:r>
    </w:p>
    <w:p>
      <w:pPr>
        <w:pStyle w:val="ListBullet"/>
        <w:numPr>
          <w:ilvl w:val="0"/>
          <w:numId w:val="1"/>
        </w:numPr>
        <w:spacing w:before="0" w:after="60"/>
        <w:ind w:left="504" w:hanging="360"/>
        <w:contextualSpacing/>
        <w:rPr/>
      </w:pPr>
      <w:r>
        <w:rPr>
          <w:rFonts w:eastAsia="Calibri" w:cs="Calibri"/>
          <w:b/>
          <w:i w:val="false"/>
          <w:sz w:val="22"/>
        </w:rPr>
        <w:t>VIP</w:t>
      </w:r>
      <w:r>
        <w:rPr>
          <w:rFonts w:eastAsia="Calibri" w:cs="Calibri"/>
          <w:b w:val="false"/>
          <w:i w:val="false"/>
          <w:sz w:val="22"/>
        </w:rPr>
        <w:t xml:space="preserve"> is optional (30 USD / 1 month, 150 USD / 6 months, 300 USD / 1 year). VIP raises the daily withdrawal cap and changes voucher and renewal rules as in the presentation.</w:t>
      </w:r>
    </w:p>
    <w:p>
      <w:pPr>
        <w:pStyle w:val="ListBullet"/>
        <w:numPr>
          <w:ilvl w:val="0"/>
          <w:numId w:val="1"/>
        </w:numPr>
        <w:spacing w:before="0" w:after="60"/>
        <w:ind w:left="504" w:hanging="360"/>
        <w:contextualSpacing/>
        <w:rPr/>
      </w:pPr>
      <w:r>
        <w:rPr>
          <w:rFonts w:eastAsia="Calibri" w:cs="Calibri"/>
          <w:b w:val="false"/>
          <w:i w:val="false"/>
          <w:sz w:val="22"/>
        </w:rPr>
        <w:t xml:space="preserve">Affiliate: </w:t>
      </w:r>
      <w:r>
        <w:rPr>
          <w:rFonts w:eastAsia="Calibri" w:cs="Calibri"/>
          <w:b/>
          <w:i w:val="false"/>
          <w:sz w:val="22"/>
        </w:rPr>
        <w:t>1 USD</w:t>
      </w:r>
      <w:r>
        <w:rPr>
          <w:rFonts w:eastAsia="Calibri" w:cs="Calibri"/>
          <w:b w:val="false"/>
          <w:i w:val="false"/>
          <w:sz w:val="22"/>
        </w:rPr>
        <w:t xml:space="preserve"> to the sponsor’s reward balance per new or renewed share of a </w:t>
      </w:r>
      <w:r>
        <w:rPr>
          <w:rFonts w:eastAsia="Calibri" w:cs="Calibri"/>
          <w:b/>
          <w:i w:val="false"/>
          <w:sz w:val="22"/>
        </w:rPr>
        <w:t>direct</w:t>
      </w:r>
      <w:r>
        <w:rPr>
          <w:rFonts w:eastAsia="Calibri" w:cs="Calibri"/>
          <w:b w:val="false"/>
          <w:i w:val="false"/>
          <w:sz w:val="22"/>
        </w:rPr>
        <w:t xml:space="preserve"> member, after maintenance is paid.</w:t>
      </w:r>
    </w:p>
    <w:p>
      <w:pPr>
        <w:pStyle w:val="ListBullet"/>
        <w:numPr>
          <w:ilvl w:val="0"/>
          <w:numId w:val="1"/>
        </w:numPr>
        <w:spacing w:before="0" w:after="60"/>
        <w:ind w:left="504" w:hanging="360"/>
        <w:contextualSpacing/>
        <w:rPr/>
      </w:pPr>
      <w:r>
        <w:rPr>
          <w:rFonts w:eastAsia="Calibri" w:cs="Calibri"/>
          <w:b w:val="false"/>
          <w:i w:val="false"/>
          <w:sz w:val="22"/>
        </w:rPr>
        <w:t>A sponsor may assign 5–20 shares as a welcome gift, paid from voucher balance.</w:t>
      </w:r>
    </w:p>
    <w:p>
      <w:pPr>
        <w:pStyle w:val="Normal"/>
        <w:spacing w:lineRule="auto" w:line="276" w:before="0" w:after="160"/>
        <w:rPr/>
      </w:pPr>
      <w:r>
        <w:rPr>
          <w:rFonts w:eastAsia="Calibri" w:cs="Calibri"/>
          <w:b w:val="false"/>
          <w:i w:val="false"/>
          <w:sz w:val="22"/>
        </w:rPr>
        <w:t xml:space="preserve">Deposits described in the presentation are sent on </w:t>
      </w:r>
      <w:r>
        <w:rPr>
          <w:rFonts w:eastAsia="Calibri" w:cs="Calibri"/>
          <w:b/>
          <w:i w:val="false"/>
          <w:sz w:val="22"/>
        </w:rPr>
        <w:t>Base</w:t>
      </w:r>
      <w:r>
        <w:rPr>
          <w:rFonts w:eastAsia="Calibri" w:cs="Calibri"/>
          <w:b w:val="false"/>
          <w:i w:val="false"/>
          <w:sz w:val="22"/>
        </w:rPr>
        <w:t xml:space="preserve"> (ETH, WETH, USDC, or USDT). The presentation states those funds buy PXT on Uniswap and, after review, credit the main wallet minus the 2.7% buy fee.</w:t>
      </w:r>
    </w:p>
    <w:p>
      <w:pPr>
        <w:pStyle w:val="Heading1"/>
        <w:rPr/>
      </w:pPr>
      <w:r>
        <w:rPr/>
        <w:t>11. References</w:t>
      </w:r>
    </w:p>
    <w:p>
      <w:pPr>
        <w:pStyle w:val="ListBullet"/>
        <w:numPr>
          <w:ilvl w:val="0"/>
          <w:numId w:val="1"/>
        </w:numPr>
        <w:spacing w:before="0" w:after="60"/>
        <w:contextualSpacing/>
        <w:rPr/>
      </w:pPr>
      <w:r>
        <w:rPr>
          <w:rFonts w:eastAsia="Calibri" w:cs="Calibri"/>
          <w:b w:val="false"/>
          <w:i w:val="false"/>
          <w:sz w:val="22"/>
        </w:rPr>
        <w:t xml:space="preserve">Source code: </w:t>
      </w:r>
      <w:hyperlink r:id="rId11">
        <w:r>
          <w:rPr>
            <w:rFonts w:cs="Calibri"/>
            <w:color w:val="0563C1"/>
            <w:sz w:val="22"/>
            <w:szCs w:val="22"/>
            <w:u w:val="single"/>
          </w:rPr>
          <w:t>github.com/phoenixtoken-pxt/phoenix-protocol</w:t>
        </w:r>
      </w:hyperlink>
    </w:p>
    <w:p>
      <w:pPr>
        <w:pStyle w:val="ListBullet"/>
        <w:numPr>
          <w:ilvl w:val="0"/>
          <w:numId w:val="1"/>
        </w:numPr>
        <w:spacing w:before="0" w:after="60"/>
        <w:contextualSpacing/>
        <w:rPr/>
      </w:pPr>
      <w:r>
        <w:rPr>
          <w:rFonts w:eastAsia="Calibri" w:cs="Calibri"/>
          <w:b w:val="false"/>
          <w:i w:val="false"/>
          <w:sz w:val="22"/>
        </w:rPr>
        <w:t xml:space="preserve">Project site: </w:t>
      </w:r>
      <w:hyperlink r:id="rId12">
        <w:r>
          <w:rPr>
            <w:rFonts w:cs="Calibri"/>
            <w:color w:val="0563C1"/>
            <w:sz w:val="22"/>
            <w:szCs w:val="22"/>
            <w:u w:val="single"/>
          </w:rPr>
          <w:t>phoenixproject.community</w:t>
        </w:r>
      </w:hyperlink>
    </w:p>
    <w:p>
      <w:pPr>
        <w:pStyle w:val="ListBullet"/>
        <w:numPr>
          <w:ilvl w:val="0"/>
          <w:numId w:val="1"/>
        </w:numPr>
        <w:spacing w:before="0" w:after="60"/>
        <w:contextualSpacing/>
        <w:rPr/>
      </w:pPr>
      <w:r>
        <w:rPr>
          <w:rFonts w:eastAsia="Calibri" w:cs="Calibri"/>
          <w:b w:val="false"/>
          <w:i w:val="false"/>
          <w:sz w:val="22"/>
        </w:rPr>
        <w:t xml:space="preserve">Token on Basescan: </w:t>
      </w:r>
      <w:hyperlink r:id="rId13">
        <w:r>
          <w:rPr>
            <w:rFonts w:cs="Consolas" w:ascii="Consolas" w:hAnsi="Consolas"/>
            <w:color w:val="0563C1"/>
            <w:sz w:val="22"/>
            <w:szCs w:val="22"/>
            <w:u w:val="single"/>
          </w:rPr>
          <w:t>0xD0Ae953BE8E2E41406D3d5fE8b191441C2277B19</w:t>
        </w:r>
      </w:hyperlink>
    </w:p>
    <w:p>
      <w:pPr>
        <w:pStyle w:val="ListBullet"/>
        <w:numPr>
          <w:ilvl w:val="0"/>
          <w:numId w:val="1"/>
        </w:numPr>
        <w:spacing w:before="0" w:after="60"/>
        <w:contextualSpacing/>
        <w:rPr/>
      </w:pPr>
      <w:r>
        <w:rPr>
          <w:rFonts w:eastAsia="Calibri" w:cs="Calibri"/>
          <w:b w:val="false"/>
          <w:i w:val="false"/>
          <w:sz w:val="22"/>
        </w:rPr>
        <w:t xml:space="preserve">Official Uniswap v4 pool: </w:t>
      </w:r>
      <w:hyperlink r:id="rId14">
        <w:r>
          <w:rPr>
            <w:rFonts w:cs="Calibri"/>
            <w:color w:val="0563C1"/>
            <w:sz w:val="22"/>
            <w:szCs w:val="22"/>
            <w:u w:val="single"/>
          </w:rPr>
          <w:t>Open pool</w:t>
        </w:r>
      </w:hyperlink>
    </w:p>
    <w:sectPr>
      <w:headerReference w:type="default" r:id="rId15"/>
      <w:footerReference w:type="default" r:id="rId16"/>
      <w:type w:val="nextPage"/>
      <w:pgSz w:w="12240" w:h="15840"/>
      <w:pgMar w:left="1440" w:right="1440" w:gutter="0" w:header="720" w:top="1296" w:footer="720" w:bottom="129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roman"/>
    <w:pitch w:val="variable"/>
  </w:font>
  <w:font w:name="Consola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rFonts w:eastAsia="Calibri" w:cs="Calibri"/>
        <w:b w:val="false"/>
        <w:i/>
        <w:color w:val="555555"/>
        <w:sz w:val="18"/>
      </w:rPr>
      <w:t>Phoenix Token  ·  Whitepaper  ·  v1.0</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160"/>
      <w:jc w:val="left"/>
    </w:pPr>
    <w:rPr>
      <w:rFonts w:ascii="Calibri" w:hAnsi="Calibri" w:eastAsia="ＭＳ 明朝" w:cs=""/>
      <w:color w:val="222222"/>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360" w:after="160"/>
      <w:outlineLvl w:val="0"/>
    </w:pPr>
    <w:rPr>
      <w:rFonts w:ascii="Calibri" w:hAnsi="Calibri" w:eastAsia="ＭＳ ゴシック" w:cs="" w:asciiTheme="majorHAnsi" w:cstheme="majorBidi" w:eastAsiaTheme="majorEastAsia" w:hAnsiTheme="majorHAnsi"/>
      <w:b/>
      <w:bCs/>
      <w:color w:val="1A2B4A"/>
      <w:sz w:val="32"/>
      <w:szCs w:val="28"/>
    </w:rPr>
  </w:style>
  <w:style w:type="paragraph" w:styleId="Heading2">
    <w:name w:val="Heading 2"/>
    <w:basedOn w:val="Normal"/>
    <w:next w:val="Normal"/>
    <w:link w:val="Heading2Char"/>
    <w:uiPriority w:val="9"/>
    <w:unhideWhenUsed/>
    <w:qFormat/>
    <w:rsid w:val="00fc693f"/>
    <w:pPr>
      <w:keepNext w:val="true"/>
      <w:keepLines/>
      <w:spacing w:before="280" w:after="120"/>
      <w:outlineLvl w:val="1"/>
    </w:pPr>
    <w:rPr>
      <w:rFonts w:ascii="Calibri" w:hAnsi="Calibri" w:eastAsia="ＭＳ ゴシック" w:cs="" w:asciiTheme="majorHAnsi" w:cstheme="majorBidi" w:eastAsiaTheme="majorEastAsia" w:hAnsiTheme="majorHAnsi"/>
      <w:b/>
      <w:bCs/>
      <w:color w:val="C45C26"/>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60"/>
      <w:ind w:left="360" w:hanging="360"/>
      <w:contextualSpacing/>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pBdr>
        <w:bottom w:val="single" w:sz="8" w:space="4" w:color="4F81BD"/>
      </w:pBdr>
      <w:spacing w:lineRule="auto" w:line="240" w:before="0" w:after="80"/>
      <w:contextualSpacing/>
    </w:pPr>
    <w:rPr>
      <w:rFonts w:ascii="Calibri" w:hAnsi="Calibri" w:eastAsia="ＭＳ ゴシック" w:cs="" w:asciiTheme="majorHAnsi" w:cstheme="majorBidi" w:eastAsiaTheme="majorEastAsia" w:hAnsiTheme="majorHAnsi"/>
      <w:b/>
      <w:color w:val="1A2B4A"/>
      <w:spacing w:val="5"/>
      <w:kern w:val="2"/>
      <w:sz w:val="56"/>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16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Bullet3">
    <w:name w:val="List Bullet 3"/>
    <w:basedOn w:val="Normal"/>
    <w:uiPriority w:val="99"/>
    <w:unhideWhenUsed/>
    <w:qFormat/>
    <w:rsid w:val="00326f90"/>
    <w:pPr>
      <w:numPr>
        <w:ilvl w:val="0"/>
        <w:numId w:val="3"/>
      </w:numPr>
      <w:spacing w:before="0" w:after="160"/>
      <w:contextualSpacing/>
    </w:pPr>
    <w:rPr/>
  </w:style>
  <w:style w:type="paragraph" w:styleId="ListBullet4">
    <w:name w:val="List Bullet 4"/>
    <w:basedOn w:val="Normal"/>
    <w:uiPriority w:val="99"/>
    <w:unhideWhenUsed/>
    <w:qFormat/>
    <w:rsid w:val="00326f90"/>
    <w:pPr>
      <w:spacing w:before="0" w:after="160"/>
      <w:ind w:left="1080" w:hanging="360"/>
      <w:contextualSpacing/>
    </w:pPr>
    <w:rPr/>
  </w:style>
  <w:style w:type="paragraph" w:styleId="ListBullet">
    <w:name w:val="List Bullet"/>
    <w:basedOn w:val="Normal"/>
    <w:uiPriority w:val="99"/>
    <w:unhideWhenUsed/>
    <w:qFormat/>
    <w:rsid w:val="00326f90"/>
    <w:pPr>
      <w:numPr>
        <w:ilvl w:val="0"/>
        <w:numId w:val="1"/>
      </w:numPr>
      <w:spacing w:before="0" w:after="160"/>
      <w:contextualSpacing/>
    </w:pPr>
    <w:rPr/>
  </w:style>
  <w:style w:type="paragraph" w:styleId="ListBullet2">
    <w:name w:val="List Bullet 2"/>
    <w:basedOn w:val="Normal"/>
    <w:uiPriority w:val="99"/>
    <w:unhideWhenUsed/>
    <w:qFormat/>
    <w:rsid w:val="00326f90"/>
    <w:pPr>
      <w:numPr>
        <w:ilvl w:val="0"/>
        <w:numId w:val="2"/>
      </w:numPr>
      <w:spacing w:before="0" w:after="160"/>
      <w:contextualSpacing/>
    </w:pPr>
    <w:rPr/>
  </w:style>
  <w:style w:type="paragraph" w:styleId="ListNumber">
    <w:name w:val="List Number"/>
    <w:basedOn w:val="Normal"/>
    <w:uiPriority w:val="99"/>
    <w:unhideWhenUsed/>
    <w:qFormat/>
    <w:rsid w:val="00326f90"/>
    <w:pPr>
      <w:numPr>
        <w:ilvl w:val="0"/>
        <w:numId w:val="4"/>
      </w:numPr>
      <w:spacing w:before="0" w:after="160"/>
      <w:contextualSpacing/>
    </w:pPr>
    <w:rPr/>
  </w:style>
  <w:style w:type="paragraph" w:styleId="ListNumber2">
    <w:name w:val="List Number 2"/>
    <w:basedOn w:val="Normal"/>
    <w:uiPriority w:val="99"/>
    <w:unhideWhenUsed/>
    <w:qFormat/>
    <w:rsid w:val="0029639d"/>
    <w:pPr>
      <w:numPr>
        <w:ilvl w:val="0"/>
        <w:numId w:val="5"/>
      </w:numPr>
      <w:spacing w:before="0" w:after="160"/>
      <w:contextualSpacing/>
    </w:pPr>
    <w:rPr/>
  </w:style>
  <w:style w:type="paragraph" w:styleId="ListNumber3">
    <w:name w:val="List Number 3"/>
    <w:basedOn w:val="Normal"/>
    <w:uiPriority w:val="99"/>
    <w:unhideWhenUsed/>
    <w:qFormat/>
    <w:rsid w:val="0029639d"/>
    <w:pPr>
      <w:numPr>
        <w:ilvl w:val="0"/>
        <w:numId w:val="6"/>
      </w:numPr>
      <w:spacing w:before="0" w:after="16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phoenixtoken-pxt/phoenix-protocol" TargetMode="External"/><Relationship Id="rId3" Type="http://schemas.openxmlformats.org/officeDocument/2006/relationships/hyperlink" Target="https://basescan.org/token/0xD0Ae953BE8E2E41406D3d5fE8b191441C2277B19" TargetMode="External"/><Relationship Id="rId4" Type="http://schemas.openxmlformats.org/officeDocument/2006/relationships/hyperlink" Target="https://basescan.org/token/0x833589fCD6eDb6E08f4c7C32D4f71b54bdA02913" TargetMode="External"/><Relationship Id="rId5" Type="http://schemas.openxmlformats.org/officeDocument/2006/relationships/hyperlink" Target="https://basescan.org/token/0xD0Ae953BE8E2E41406D3d5fE8b191441C2277B19" TargetMode="External"/><Relationship Id="rId6" Type="http://schemas.openxmlformats.org/officeDocument/2006/relationships/hyperlink" Target="https://basescan.org/address/0xa36587Df6533adafA569e4EEeA326C6FbDECCCcC" TargetMode="External"/><Relationship Id="rId7" Type="http://schemas.openxmlformats.org/officeDocument/2006/relationships/hyperlink" Target="https://basescan.org/address/0xe8dE2fF2e6b45dE1159456fe42385C0958d2F635" TargetMode="External"/><Relationship Id="rId8" Type="http://schemas.openxmlformats.org/officeDocument/2006/relationships/hyperlink" Target="https://basescan.org/address/0xD7BD1df941F8f30b58179760Cf3323D018913E2b" TargetMode="External"/><Relationship Id="rId9" Type="http://schemas.openxmlformats.org/officeDocument/2006/relationships/hyperlink" Target="https://basescan.org/address/0x7778B93a64B09295d890614eD8d4E61845899559" TargetMode="External"/><Relationship Id="rId10" Type="http://schemas.openxmlformats.org/officeDocument/2006/relationships/hyperlink" Target="https://app.uniswap.org/explore/pools/base/0x00598d622684c5bf9b2d09fa84bf159c118d5538d990bd6baa2f32fc0e07f34f" TargetMode="External"/><Relationship Id="rId11" Type="http://schemas.openxmlformats.org/officeDocument/2006/relationships/hyperlink" Target="https://github.com/phoenixtoken-pxt/phoenix-protocol" TargetMode="External"/><Relationship Id="rId12" Type="http://schemas.openxmlformats.org/officeDocument/2006/relationships/hyperlink" Target="https://phoenixproject.community/" TargetMode="External"/><Relationship Id="rId13" Type="http://schemas.openxmlformats.org/officeDocument/2006/relationships/hyperlink" Target="https://basescan.org/token/0xD0Ae953BE8E2E41406D3d5fE8b191441C2277B19" TargetMode="External"/><Relationship Id="rId14" Type="http://schemas.openxmlformats.org/officeDocument/2006/relationships/hyperlink" Target="https://app.uniswap.org/explore/pools/base/0x00598d622684c5bf9b2d09fa84bf159c118d5538d990bd6baa2f32fc0e07f34f" TargetMode="External"/><Relationship Id="rId15" Type="http://schemas.openxmlformats.org/officeDocument/2006/relationships/header" Target="header1.xml"/><Relationship Id="rId16" Type="http://schemas.openxmlformats.org/officeDocument/2006/relationships/footer" Target="footer1.xm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Relationship Id="rId21"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Application>LibreOffice/7.3.7.2$Linux_X86_64 LibreOffice_project/30$Build-2</Application>
  <AppVersion>15.0000</AppVersion>
  <Pages>6</Pages>
  <Words>1875</Words>
  <Characters>9531</Characters>
  <CharactersWithSpaces>11238</CharactersWithSpaces>
  <Paragraphs>156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Whitepaper</cp:category>
  <dcterms:created xsi:type="dcterms:W3CDTF">2013-12-23T23:15:00Z</dcterms:created>
  <dc:creator>Phoenix Project</dc:creator>
  <dc:description>Version 1.0 · 18 September 2026</dc:description>
  <dc:language>en-US</dc:language>
  <cp:lastModifiedBy/>
  <dcterms:modified xsi:type="dcterms:W3CDTF">2026-09-21T15:39:32Z</dcterms:modified>
  <cp:revision>2</cp:revision>
  <dc:subject>PXT token as deployed on Base</dc:subject>
  <dc:title>Phoenix Token (PXT) Whitepaper</dc:title>
</cp:coreProperties>
</file>

<file path=docProps/custom.xml><?xml version="1.0" encoding="utf-8"?>
<Properties xmlns="http://schemas.openxmlformats.org/officeDocument/2006/custom-properties" xmlns:vt="http://schemas.openxmlformats.org/officeDocument/2006/docPropsVTypes"/>
</file>