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8E716" w14:textId="77777777" w:rsidR="0099522E" w:rsidRDefault="0099522E"/>
    <w:p w14:paraId="27A5FB54" w14:textId="77777777" w:rsidR="0099522E" w:rsidRDefault="0099522E"/>
    <w:p w14:paraId="25A7922C" w14:textId="77777777" w:rsidR="0099522E" w:rsidRDefault="0099522E"/>
    <w:p w14:paraId="289F657F" w14:textId="77777777" w:rsidR="0099522E" w:rsidRDefault="00000000">
      <w:pPr>
        <w:spacing w:after="0" w:line="480" w:lineRule="auto"/>
        <w:jc w:val="center"/>
      </w:pPr>
      <w:r>
        <w:rPr>
          <w:b/>
        </w:rPr>
        <w:t>DDS8555 Assignment 5: Multi-Class Prediction of Obesity Risk</w:t>
      </w:r>
    </w:p>
    <w:p w14:paraId="060585DE" w14:textId="77777777" w:rsidR="0099522E" w:rsidRDefault="00000000">
      <w:pPr>
        <w:spacing w:after="0" w:line="480" w:lineRule="auto"/>
        <w:jc w:val="center"/>
      </w:pPr>
      <w:r>
        <w:t>Eliseo Ilarraza</w:t>
      </w:r>
    </w:p>
    <w:p w14:paraId="1CED4920" w14:textId="77777777" w:rsidR="0099522E" w:rsidRDefault="00000000">
      <w:pPr>
        <w:spacing w:after="0" w:line="480" w:lineRule="auto"/>
        <w:jc w:val="center"/>
      </w:pPr>
      <w:r>
        <w:t>National University</w:t>
      </w:r>
    </w:p>
    <w:p w14:paraId="561B224C" w14:textId="77777777" w:rsidR="0099522E" w:rsidRDefault="00000000">
      <w:pPr>
        <w:spacing w:after="0" w:line="480" w:lineRule="auto"/>
        <w:jc w:val="center"/>
      </w:pPr>
      <w:r>
        <w:t>DDS-8555 Predictive Analysis</w:t>
      </w:r>
    </w:p>
    <w:p w14:paraId="69FF96FF" w14:textId="77777777" w:rsidR="0099522E" w:rsidRDefault="00000000">
      <w:pPr>
        <w:spacing w:after="0" w:line="480" w:lineRule="auto"/>
        <w:jc w:val="center"/>
      </w:pPr>
      <w:r>
        <w:t>October 26, 2025</w:t>
      </w:r>
    </w:p>
    <w:p w14:paraId="0D50A93B" w14:textId="77777777" w:rsidR="0099522E" w:rsidRDefault="00000000">
      <w:r>
        <w:br w:type="page"/>
      </w:r>
    </w:p>
    <w:p w14:paraId="6A78E1D2" w14:textId="77777777" w:rsidR="0099522E" w:rsidRDefault="00000000">
      <w:pPr>
        <w:spacing w:after="0" w:line="480" w:lineRule="auto"/>
        <w:jc w:val="center"/>
      </w:pPr>
      <w:r>
        <w:rPr>
          <w:b/>
        </w:rPr>
        <w:lastRenderedPageBreak/>
        <w:t>Methods</w:t>
      </w:r>
    </w:p>
    <w:p w14:paraId="3A7C27A1" w14:textId="7F247166" w:rsidR="0099522E" w:rsidRDefault="00000000">
      <w:pPr>
        <w:spacing w:after="0" w:line="480" w:lineRule="auto"/>
        <w:ind w:firstLine="720"/>
      </w:pPr>
      <w:r>
        <w:t xml:space="preserve">We framed the task as </w:t>
      </w:r>
      <w:r w:rsidR="00B80B63">
        <w:t xml:space="preserve">a </w:t>
      </w:r>
      <w:r>
        <w:t>seven-class prediction of NObeyesdad from lifestyle and anthropometric features (e.g., Gender, Age, Height, Weight, FAVC, FCVC, NCP, CAEC, SMOKE, CH2O, SCC, FAF, TUE, CALC, MTRANS). Four models were fit with a shared, leakage-safe pipeline: multinomial logistic regression, linear discriminant analysis (LDA) with Ledoit–Wolf shrinkage, Gaussian naïve Bayes, and a linear one‑vs‑rest SVM. Quantitative features were standardized; categoricals were one‑hot encoded; ordinal scales (FCVC, NCP, FAF, TUE) were treated as ordered. Hyperparameters were lightly tuned within stratified 3‑fold cross‑validation (CV), with all preprocessing performed inside folds to prevent leakage (Leinonen et al., 2024). Logistic regression supplied calibrated probabilities on the log‑odds scale (Hua et al., 2025); LDA assumed approximately equal class covariances (Qu &amp; Pei, 2024); NB provided a fast baseline for mixed tabular signals (Peretz et al., 2024); SVM used feature scaling and regularization tuned for minority‑class recall (Guido et al., 2024).</w:t>
      </w:r>
    </w:p>
    <w:p w14:paraId="48092C5F" w14:textId="77777777" w:rsidR="0099522E" w:rsidRDefault="00000000">
      <w:pPr>
        <w:spacing w:after="0" w:line="480" w:lineRule="auto"/>
        <w:jc w:val="center"/>
      </w:pPr>
      <w:r>
        <w:rPr>
          <w:b/>
        </w:rPr>
        <w:t>Validation and Diagnostics</w:t>
      </w:r>
    </w:p>
    <w:p w14:paraId="22F80D08" w14:textId="5E410332" w:rsidR="0099522E" w:rsidRDefault="00000000">
      <w:pPr>
        <w:spacing w:after="0" w:line="480" w:lineRule="auto"/>
        <w:ind w:firstLine="720"/>
      </w:pPr>
      <w:r>
        <w:t xml:space="preserve">All models used identical stratified CV splits. We reported accuracy and macro‑F1 and monitored class‑wise precision/recall on out‑of‑fold predictions. Because accuracy can be misleading under imbalance, we emphasized macro‑F1 and </w:t>
      </w:r>
      <w:r w:rsidR="00913E40">
        <w:t>noted</w:t>
      </w:r>
      <w:r>
        <w:t xml:space="preserve"> the IMCP framework as an imbalance‑insensitive multiclass complement for future iterations (Aguilar‑Ruiz &amp; Michalak, 2024). After validation, </w:t>
      </w:r>
      <w:r w:rsidR="00913E40">
        <w:t xml:space="preserve">the pipelines were refit on the </w:t>
      </w:r>
      <w:r w:rsidR="00B80B63">
        <w:t>complete</w:t>
      </w:r>
      <w:r w:rsidR="00913E40">
        <w:t xml:space="preserve"> training data to produce</w:t>
      </w:r>
      <w:r>
        <w:t xml:space="preserve"> four Kaggle submissions.</w:t>
      </w:r>
    </w:p>
    <w:p w14:paraId="2118C18D" w14:textId="77777777" w:rsidR="0099522E" w:rsidRDefault="00000000">
      <w:pPr>
        <w:spacing w:after="0" w:line="480" w:lineRule="auto"/>
        <w:jc w:val="center"/>
      </w:pPr>
      <w:r>
        <w:rPr>
          <w:b/>
        </w:rPr>
        <w:t>Results</w:t>
      </w:r>
    </w:p>
    <w:p w14:paraId="4DC6094D" w14:textId="24D3E229" w:rsidR="0099522E" w:rsidRDefault="00000000">
      <w:pPr>
        <w:spacing w:after="0" w:line="480" w:lineRule="auto"/>
        <w:ind w:firstLine="720"/>
      </w:pPr>
      <w:r>
        <w:lastRenderedPageBreak/>
        <w:t xml:space="preserve">Cross‑validation ranked models: Multinomial Logistic Regression ≻ </w:t>
      </w:r>
      <w:r w:rsidR="00913E40">
        <w:t xml:space="preserve">, </w:t>
      </w:r>
      <w:r>
        <w:t xml:space="preserve">LDA ≻ Linear SVM ≻ </w:t>
      </w:r>
      <w:r w:rsidR="00913E40">
        <w:t xml:space="preserve">, </w:t>
      </w:r>
      <w:r>
        <w:t xml:space="preserve">Gaussian NB. Kaggle (late submission) confirmed this ordering: Logistic Regression (Private 0.86054; Public 0.86596), LDA (0.81286; 0.81466), Linear SVM (0.75108; 0.75000), and Gaussian NB (0.58535; 0.58887). </w:t>
      </w:r>
      <w:r w:rsidR="00913E40">
        <w:t>A close</w:t>
      </w:r>
      <w:r>
        <w:t xml:space="preserve"> private/public agreement suggests good generalization.</w:t>
      </w:r>
    </w:p>
    <w:p w14:paraId="415FA8F6" w14:textId="77777777" w:rsidR="0099522E" w:rsidRDefault="00000000">
      <w:pPr>
        <w:spacing w:after="0" w:line="480" w:lineRule="auto"/>
        <w:jc w:val="center"/>
      </w:pPr>
      <w:r>
        <w:rPr>
          <w:b/>
        </w:rPr>
        <w:t>Interpretation, Assumptions, and Applications</w:t>
      </w:r>
    </w:p>
    <w:p w14:paraId="0DE1C4FB" w14:textId="5F9BA1A2" w:rsidR="0099522E" w:rsidRDefault="00000000">
      <w:pPr>
        <w:spacing w:after="0" w:line="480" w:lineRule="auto"/>
        <w:ind w:firstLine="720"/>
      </w:pPr>
      <w:r>
        <w:t>Logistic coefficients map to odds‑ratio changes and support actionable counseling (Hua et al., 2025). LDA/QDA choice depends on covariance similarity; our diagnostics favored LDA’s equal‑covariance premise (Qu &amp; Pei, 2024). Naïve Bayes’ conditional independence is an approximation but remains effective for high‑dimensional screening (Peretz et al., 2024). For deployment, preserve scaling, consider class weights for minority tiers, and audit fairness across gender and age</w:t>
      </w:r>
      <w:r w:rsidR="00913E40">
        <w:t>—comparable</w:t>
      </w:r>
      <w:r>
        <w:t xml:space="preserve"> obesity‑risk systems couple modeling with individualized feedback and feature attributions (Du et al., 2024).</w:t>
      </w:r>
    </w:p>
    <w:p w14:paraId="294E7BF8" w14:textId="77777777" w:rsidR="0099522E" w:rsidRDefault="00000000">
      <w:pPr>
        <w:spacing w:after="0" w:line="480" w:lineRule="auto"/>
        <w:jc w:val="center"/>
      </w:pPr>
      <w:r>
        <w:rPr>
          <w:b/>
        </w:rPr>
        <w:t>Deliverables</w:t>
      </w:r>
    </w:p>
    <w:p w14:paraId="42F6A811" w14:textId="77777777" w:rsidR="0099522E" w:rsidRDefault="00000000">
      <w:pPr>
        <w:spacing w:after="0" w:line="480" w:lineRule="auto"/>
        <w:ind w:firstLine="720"/>
      </w:pPr>
      <w:r>
        <w:t>Repository and evidence: GitHub (code, notebook, figures, submissions): https://github.com/Skeonpr1/dds8555-a5-obesity-risk; Kaggle submissions page: https://www.kaggle.com/competitions/playground-series-s4e2/submissions#.</w:t>
      </w:r>
    </w:p>
    <w:p w14:paraId="0B9A7F40" w14:textId="77777777" w:rsidR="0099522E" w:rsidRDefault="00000000">
      <w:r>
        <w:br w:type="page"/>
      </w:r>
    </w:p>
    <w:p w14:paraId="41108361" w14:textId="77777777" w:rsidR="0099522E" w:rsidRDefault="00000000">
      <w:pPr>
        <w:spacing w:after="0" w:line="480" w:lineRule="auto"/>
        <w:jc w:val="center"/>
      </w:pPr>
      <w:r>
        <w:rPr>
          <w:b/>
        </w:rPr>
        <w:lastRenderedPageBreak/>
        <w:t>References</w:t>
      </w:r>
    </w:p>
    <w:p w14:paraId="318D04DE" w14:textId="77777777" w:rsidR="0099522E" w:rsidRDefault="00000000">
      <w:pPr>
        <w:spacing w:after="0" w:line="480" w:lineRule="auto"/>
        <w:ind w:left="720" w:hanging="720"/>
      </w:pPr>
      <w:r>
        <w:t xml:space="preserve">Aguilar‑Ruiz, J. S., &amp; Michalak, M. (2024). Classification performance assessment for imbalanced multiclass data. </w:t>
      </w:r>
      <w:r>
        <w:rPr>
          <w:i/>
        </w:rPr>
        <w:t>Scientific Reports</w:t>
      </w:r>
      <w:r>
        <w:t xml:space="preserve">, </w:t>
      </w:r>
      <w:r>
        <w:rPr>
          <w:i/>
        </w:rPr>
        <w:t>14</w:t>
      </w:r>
      <w:r>
        <w:t>, 10759. https://doi.org/10.1038/s41598-024-61365-z</w:t>
      </w:r>
    </w:p>
    <w:p w14:paraId="0A009051" w14:textId="77777777" w:rsidR="0099522E" w:rsidRDefault="00000000">
      <w:pPr>
        <w:spacing w:after="0" w:line="480" w:lineRule="auto"/>
        <w:ind w:left="720" w:hanging="720"/>
      </w:pPr>
      <w:r>
        <w:t xml:space="preserve">Du, J., Yang, S., Zeng, Y., Ye, C., Chang, X., &amp; Wu, S. (2024). Visualization obesity risk prediction system based on machine learning. </w:t>
      </w:r>
      <w:r>
        <w:rPr>
          <w:i/>
        </w:rPr>
        <w:t>Scientific Reports</w:t>
      </w:r>
      <w:r>
        <w:t xml:space="preserve">, </w:t>
      </w:r>
      <w:r>
        <w:rPr>
          <w:i/>
        </w:rPr>
        <w:t>14</w:t>
      </w:r>
      <w:r>
        <w:t>, 22424. https://doi.org/10.1038/s41598-024-73826-6</w:t>
      </w:r>
    </w:p>
    <w:p w14:paraId="52AD3AD5" w14:textId="77777777" w:rsidR="0099522E" w:rsidRDefault="00000000">
      <w:pPr>
        <w:spacing w:after="0" w:line="480" w:lineRule="auto"/>
        <w:ind w:left="720" w:hanging="720"/>
      </w:pPr>
      <w:r>
        <w:t xml:space="preserve">Guido, R., et al. (2024). An overview on the advancements of support vector machine models in healthcare applications: A review. </w:t>
      </w:r>
      <w:r>
        <w:rPr>
          <w:i/>
        </w:rPr>
        <w:t>Information</w:t>
      </w:r>
      <w:r>
        <w:t xml:space="preserve">, </w:t>
      </w:r>
      <w:r>
        <w:rPr>
          <w:i/>
        </w:rPr>
        <w:t>15(4)</w:t>
      </w:r>
      <w:r>
        <w:t>, 235. https://doi.org/10.3390/info15040235</w:t>
      </w:r>
    </w:p>
    <w:p w14:paraId="5AB6DB30" w14:textId="77777777" w:rsidR="0099522E" w:rsidRDefault="00000000">
      <w:pPr>
        <w:spacing w:after="0" w:line="480" w:lineRule="auto"/>
        <w:ind w:left="720" w:hanging="720"/>
      </w:pPr>
      <w:r>
        <w:t xml:space="preserve">Hua, Y., Stead, T. S., George, A., &amp; Ganti, L. (2025). Clinical risk prediction with logistic regression: Best practices, validation techniques, and applications in medical research. </w:t>
      </w:r>
      <w:r>
        <w:rPr>
          <w:i/>
        </w:rPr>
        <w:t>Academic Medicine &amp; Surgery</w:t>
      </w:r>
      <w:r>
        <w:t>. https://doi.org/10.62186/001c.131964</w:t>
      </w:r>
    </w:p>
    <w:p w14:paraId="3403AA2A" w14:textId="77777777" w:rsidR="0099522E" w:rsidRDefault="00000000">
      <w:pPr>
        <w:spacing w:after="0" w:line="480" w:lineRule="auto"/>
        <w:ind w:left="720" w:hanging="720"/>
      </w:pPr>
      <w:r>
        <w:t xml:space="preserve">Leinonen, T., Wong, D., Vasankari, A., Wahab, A., Nadarajah, R., Kaisti, M., &amp; Airola, A. (2024). Empirical investigation of multi-source cross-validation in clinical ECG classification. </w:t>
      </w:r>
      <w:r>
        <w:rPr>
          <w:i/>
        </w:rPr>
        <w:t>Computers in Biology and Medicine</w:t>
      </w:r>
      <w:r>
        <w:t xml:space="preserve">, </w:t>
      </w:r>
      <w:r>
        <w:rPr>
          <w:i/>
        </w:rPr>
        <w:t>183</w:t>
      </w:r>
      <w:r>
        <w:t>, 109271. https://doi.org/10.1016/j.compbiomed.2024.109271</w:t>
      </w:r>
    </w:p>
    <w:p w14:paraId="0BA3CC0D" w14:textId="77777777" w:rsidR="0099522E" w:rsidRDefault="00000000">
      <w:pPr>
        <w:spacing w:after="0" w:line="480" w:lineRule="auto"/>
        <w:ind w:left="720" w:hanging="720"/>
      </w:pPr>
      <w:r>
        <w:t xml:space="preserve">Peretz, O., Koren, M., &amp; Koren, O. (2024). Naive Bayes classifier—An ensemble procedure for recall and precision enrichment. </w:t>
      </w:r>
      <w:r>
        <w:rPr>
          <w:i/>
        </w:rPr>
        <w:t>Engineering Applications of Artificial Intelligence</w:t>
      </w:r>
      <w:r>
        <w:t xml:space="preserve">, </w:t>
      </w:r>
      <w:r>
        <w:rPr>
          <w:i/>
        </w:rPr>
        <w:t>136</w:t>
      </w:r>
      <w:r>
        <w:t>, 108972. https://doi.org/10.1016/j.engappai.2024.108972</w:t>
      </w:r>
    </w:p>
    <w:p w14:paraId="25D7CA71" w14:textId="77777777" w:rsidR="0099522E" w:rsidRDefault="00000000">
      <w:pPr>
        <w:spacing w:after="0" w:line="480" w:lineRule="auto"/>
        <w:ind w:left="720" w:hanging="720"/>
      </w:pPr>
      <w:r>
        <w:lastRenderedPageBreak/>
        <w:t xml:space="preserve">Qu, L., &amp; Pei, Y. (2024). A comprehensive review on discriminant analysis for addressing challenges of class-level limitations, small sample size, and robustness. </w:t>
      </w:r>
      <w:r>
        <w:rPr>
          <w:i/>
        </w:rPr>
        <w:t>Processes</w:t>
      </w:r>
      <w:r>
        <w:t xml:space="preserve">, </w:t>
      </w:r>
      <w:r>
        <w:rPr>
          <w:i/>
        </w:rPr>
        <w:t>12(7)</w:t>
      </w:r>
      <w:r>
        <w:t>, 1382. https://doi.org/10.3390/pr12071382</w:t>
      </w:r>
    </w:p>
    <w:p w14:paraId="627E21F9" w14:textId="77777777" w:rsidR="0099522E" w:rsidRDefault="00000000">
      <w:r>
        <w:br w:type="page"/>
      </w:r>
    </w:p>
    <w:p w14:paraId="1BEA2DE4" w14:textId="77777777" w:rsidR="0099522E" w:rsidRDefault="00000000">
      <w:pPr>
        <w:spacing w:after="0" w:line="480" w:lineRule="auto"/>
        <w:jc w:val="center"/>
      </w:pPr>
      <w:r>
        <w:rPr>
          <w:b/>
        </w:rPr>
        <w:lastRenderedPageBreak/>
        <w:t>Appendix: Evidence and Figures</w:t>
      </w:r>
    </w:p>
    <w:p w14:paraId="43A93053" w14:textId="394334D0" w:rsidR="000A74F4" w:rsidRDefault="00000000" w:rsidP="000A74F4">
      <w:pPr>
        <w:spacing w:after="0" w:line="480" w:lineRule="auto"/>
        <w:ind w:firstLine="720"/>
      </w:pPr>
      <w:r>
        <w:t>Kaggle late‑submission results. Private/Public scores</w:t>
      </w:r>
      <w:r w:rsidR="000A74F4">
        <w:t>, respectively,</w:t>
      </w:r>
      <w:r>
        <w:t xml:space="preserve"> were: Logistic Regression 0.86054/0.86596; LDA 0.81286/0.81466; Linear SVM 0.75108/0.75000; Gaussian NB 0.58535/0.58887. These align with cross‑validation ranking and indicate </w:t>
      </w:r>
      <w:r w:rsidR="00913E40" w:rsidRPr="00913E40">
        <w:t xml:space="preserve">that </w:t>
      </w:r>
      <w:r>
        <w:t>the multinomial logistic regression model generalizes best.</w:t>
      </w:r>
    </w:p>
    <w:p w14:paraId="5598E9EC" w14:textId="58475588" w:rsidR="0099522E" w:rsidRDefault="00000000">
      <w:r>
        <w:rPr>
          <w:noProof/>
        </w:rPr>
        <w:drawing>
          <wp:inline distT="0" distB="0" distL="0" distR="0" wp14:anchorId="18DA9A34" wp14:editId="155A6AAD">
            <wp:extent cx="5715000" cy="25774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aggle Evidence.PNG"/>
                    <pic:cNvPicPr/>
                  </pic:nvPicPr>
                  <pic:blipFill>
                    <a:blip r:embed="rId8"/>
                    <a:stretch>
                      <a:fillRect/>
                    </a:stretch>
                  </pic:blipFill>
                  <pic:spPr>
                    <a:xfrm>
                      <a:off x="0" y="0"/>
                      <a:ext cx="5715000" cy="2577422"/>
                    </a:xfrm>
                    <a:prstGeom prst="rect">
                      <a:avLst/>
                    </a:prstGeom>
                  </pic:spPr>
                </pic:pic>
              </a:graphicData>
            </a:graphic>
          </wp:inline>
        </w:drawing>
      </w:r>
    </w:p>
    <w:p w14:paraId="6652F1EE" w14:textId="77777777" w:rsidR="0099522E" w:rsidRDefault="00000000">
      <w:pPr>
        <w:spacing w:after="0" w:line="480" w:lineRule="auto"/>
        <w:jc w:val="center"/>
      </w:pPr>
      <w:r>
        <w:t>Figure A. Kaggle late‑submission page with private and public scores for Models 1–4.</w:t>
      </w:r>
    </w:p>
    <w:p w14:paraId="17181739" w14:textId="77777777" w:rsidR="0099522E" w:rsidRDefault="00000000">
      <w:pPr>
        <w:spacing w:after="0" w:line="480" w:lineRule="auto"/>
        <w:ind w:firstLine="720"/>
      </w:pPr>
      <w:r>
        <w:t>Cross‑validation accuracy across the four models. Logistic Regression achieves the highest mean accuracy, followed by LDA, Linear SVM, and Gaussian NB. The separation between the first two models and the rest suggests that linear‑probabilistic methods fit the tabular signal well.</w:t>
      </w:r>
    </w:p>
    <w:p w14:paraId="123F9E6E" w14:textId="77777777" w:rsidR="0099522E" w:rsidRDefault="00000000">
      <w:r>
        <w:rPr>
          <w:noProof/>
        </w:rPr>
        <w:lastRenderedPageBreak/>
        <w:drawing>
          <wp:inline distT="0" distB="0" distL="0" distR="0" wp14:anchorId="48BB21A6" wp14:editId="4E06BCFD">
            <wp:extent cx="571500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_accuracy_bar.png"/>
                    <pic:cNvPicPr/>
                  </pic:nvPicPr>
                  <pic:blipFill>
                    <a:blip r:embed="rId9"/>
                    <a:stretch>
                      <a:fillRect/>
                    </a:stretch>
                  </pic:blipFill>
                  <pic:spPr>
                    <a:xfrm>
                      <a:off x="0" y="0"/>
                      <a:ext cx="5715000" cy="3333750"/>
                    </a:xfrm>
                    <a:prstGeom prst="rect">
                      <a:avLst/>
                    </a:prstGeom>
                  </pic:spPr>
                </pic:pic>
              </a:graphicData>
            </a:graphic>
          </wp:inline>
        </w:drawing>
      </w:r>
    </w:p>
    <w:p w14:paraId="2DADA8B2" w14:textId="77777777" w:rsidR="0099522E" w:rsidRDefault="00000000">
      <w:pPr>
        <w:spacing w:after="0" w:line="480" w:lineRule="auto"/>
        <w:jc w:val="center"/>
      </w:pPr>
      <w:r>
        <w:t>Figure B. CV Accuracy (3‑fold stratified) — base R chart.</w:t>
      </w:r>
    </w:p>
    <w:p w14:paraId="7A2D7A1F" w14:textId="77777777" w:rsidR="0099522E" w:rsidRDefault="00000000">
      <w:pPr>
        <w:spacing w:after="0" w:line="480" w:lineRule="auto"/>
        <w:ind w:firstLine="720"/>
      </w:pPr>
      <w:r>
        <w:t>The ggplot version orders models by accuracy to emphasize ranking and margin. The logistic model’s advantage over LDA is modest but consistent across folds, while SVM and NB trail notably.</w:t>
      </w:r>
    </w:p>
    <w:p w14:paraId="3DB2DFB6" w14:textId="77777777" w:rsidR="0099522E" w:rsidRDefault="00000000">
      <w:r>
        <w:rPr>
          <w:noProof/>
        </w:rPr>
        <w:drawing>
          <wp:inline distT="0" distB="0" distL="0" distR="0" wp14:anchorId="738D0E06" wp14:editId="055FED66">
            <wp:extent cx="5715000" cy="32657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_accuracy_bar_ggplot.png"/>
                    <pic:cNvPicPr/>
                  </pic:nvPicPr>
                  <pic:blipFill>
                    <a:blip r:embed="rId10"/>
                    <a:stretch>
                      <a:fillRect/>
                    </a:stretch>
                  </pic:blipFill>
                  <pic:spPr>
                    <a:xfrm>
                      <a:off x="0" y="0"/>
                      <a:ext cx="5715000" cy="3265714"/>
                    </a:xfrm>
                    <a:prstGeom prst="rect">
                      <a:avLst/>
                    </a:prstGeom>
                  </pic:spPr>
                </pic:pic>
              </a:graphicData>
            </a:graphic>
          </wp:inline>
        </w:drawing>
      </w:r>
    </w:p>
    <w:p w14:paraId="123D2B0D" w14:textId="77777777" w:rsidR="0099522E" w:rsidRDefault="00000000">
      <w:pPr>
        <w:spacing w:after="0" w:line="480" w:lineRule="auto"/>
        <w:jc w:val="center"/>
      </w:pPr>
      <w:r>
        <w:lastRenderedPageBreak/>
        <w:t>Figure C. CV Accuracy (3‑fold stratified) — ggplot chart.</w:t>
      </w:r>
    </w:p>
    <w:p w14:paraId="4FA954B5" w14:textId="3ECA75C6" w:rsidR="0099522E" w:rsidRDefault="00000000">
      <w:pPr>
        <w:spacing w:after="0" w:line="480" w:lineRule="auto"/>
        <w:ind w:firstLine="720"/>
      </w:pPr>
      <w:r>
        <w:t xml:space="preserve">Macro‑F1 balances performance across the seven classes. Logistic Regression again leads, indicating its advantage is not due solely to </w:t>
      </w:r>
      <w:r w:rsidR="000A74F4">
        <w:t xml:space="preserve">the </w:t>
      </w:r>
      <w:r>
        <w:t>majority classes. LDA’s macro‑F1 is close, whereas SVM and NB lose recall on minority obesity categories.</w:t>
      </w:r>
    </w:p>
    <w:p w14:paraId="2E238C6E" w14:textId="77777777" w:rsidR="0099522E" w:rsidRDefault="00000000">
      <w:r>
        <w:rPr>
          <w:noProof/>
        </w:rPr>
        <w:drawing>
          <wp:inline distT="0" distB="0" distL="0" distR="0" wp14:anchorId="4C232737" wp14:editId="7BA4358E">
            <wp:extent cx="5715000" cy="333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_macroF1_bar.png"/>
                    <pic:cNvPicPr/>
                  </pic:nvPicPr>
                  <pic:blipFill>
                    <a:blip r:embed="rId11"/>
                    <a:stretch>
                      <a:fillRect/>
                    </a:stretch>
                  </pic:blipFill>
                  <pic:spPr>
                    <a:xfrm>
                      <a:off x="0" y="0"/>
                      <a:ext cx="5715000" cy="3333750"/>
                    </a:xfrm>
                    <a:prstGeom prst="rect">
                      <a:avLst/>
                    </a:prstGeom>
                  </pic:spPr>
                </pic:pic>
              </a:graphicData>
            </a:graphic>
          </wp:inline>
        </w:drawing>
      </w:r>
    </w:p>
    <w:p w14:paraId="24CF2849" w14:textId="77777777" w:rsidR="0099522E" w:rsidRDefault="00000000">
      <w:pPr>
        <w:spacing w:after="0" w:line="480" w:lineRule="auto"/>
        <w:jc w:val="center"/>
      </w:pPr>
      <w:r>
        <w:t>Figure D. CV Macro‑F1 (3‑fold stratified) — base R chart.</w:t>
      </w:r>
    </w:p>
    <w:p w14:paraId="3A494792" w14:textId="18598EDD" w:rsidR="0099522E" w:rsidRDefault="00000000">
      <w:pPr>
        <w:spacing w:after="0" w:line="480" w:lineRule="auto"/>
        <w:ind w:firstLine="720"/>
      </w:pPr>
      <w:r>
        <w:t xml:space="preserve">Ordering by macro‑F1 clarifies the gap between probabilistic (Logistic/LDA) and margin‑based (SVM) methods on balanced class performance. This corroborates </w:t>
      </w:r>
      <w:r w:rsidR="000A74F4">
        <w:t xml:space="preserve">the decision to report Logistic Regression as the primary </w:t>
      </w:r>
      <w:r>
        <w:t>model.</w:t>
      </w:r>
    </w:p>
    <w:p w14:paraId="284B77B8" w14:textId="77777777" w:rsidR="0099522E" w:rsidRDefault="00000000">
      <w:r>
        <w:rPr>
          <w:noProof/>
        </w:rPr>
        <w:lastRenderedPageBreak/>
        <w:drawing>
          <wp:inline distT="0" distB="0" distL="0" distR="0" wp14:anchorId="65A77ADA" wp14:editId="6520D72F">
            <wp:extent cx="5715000" cy="32657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_macroF1_bar_ggplot.png"/>
                    <pic:cNvPicPr/>
                  </pic:nvPicPr>
                  <pic:blipFill>
                    <a:blip r:embed="rId12"/>
                    <a:stretch>
                      <a:fillRect/>
                    </a:stretch>
                  </pic:blipFill>
                  <pic:spPr>
                    <a:xfrm>
                      <a:off x="0" y="0"/>
                      <a:ext cx="5715000" cy="3265714"/>
                    </a:xfrm>
                    <a:prstGeom prst="rect">
                      <a:avLst/>
                    </a:prstGeom>
                  </pic:spPr>
                </pic:pic>
              </a:graphicData>
            </a:graphic>
          </wp:inline>
        </w:drawing>
      </w:r>
    </w:p>
    <w:p w14:paraId="723C92DA" w14:textId="77777777" w:rsidR="0099522E" w:rsidRDefault="00000000">
      <w:pPr>
        <w:spacing w:after="0" w:line="480" w:lineRule="auto"/>
        <w:jc w:val="center"/>
      </w:pPr>
      <w:r>
        <w:t xml:space="preserve">Figure E. CV Macro‑F1 (3‑fold stratified) — </w:t>
      </w:r>
      <w:proofErr w:type="spellStart"/>
      <w:r>
        <w:t>ggplot</w:t>
      </w:r>
      <w:proofErr w:type="spellEnd"/>
      <w:r>
        <w:t xml:space="preserve"> chart.</w:t>
      </w:r>
    </w:p>
    <w:p w14:paraId="3F74EED2" w14:textId="2EEFAE50" w:rsidR="00265D8C" w:rsidRDefault="00265D8C" w:rsidP="00265D8C">
      <w:pPr>
        <w:pStyle w:val="NormalWeb"/>
        <w:spacing w:line="480" w:lineRule="auto"/>
        <w:ind w:firstLine="720"/>
      </w:pPr>
      <w:r>
        <w:rPr>
          <w:rStyle w:val="Strong"/>
        </w:rPr>
        <w:t xml:space="preserve">Figure E (CV Macro-F1, </w:t>
      </w:r>
      <w:proofErr w:type="spellStart"/>
      <w:r>
        <w:rPr>
          <w:rStyle w:val="Strong"/>
        </w:rPr>
        <w:t>ggplot</w:t>
      </w:r>
      <w:proofErr w:type="spellEnd"/>
      <w:r>
        <w:rPr>
          <w:rStyle w:val="Strong"/>
        </w:rPr>
        <w:t>).</w:t>
      </w:r>
      <w:r>
        <w:t xml:space="preserve"> Ordering models by macro-F1 shows </w:t>
      </w:r>
      <w:r>
        <w:rPr>
          <w:rStyle w:val="Strong"/>
        </w:rPr>
        <w:t>Multinomial Logistic Regression</w:t>
      </w:r>
      <w:r>
        <w:t xml:space="preserve"> leading with the best class-balanced performance, with </w:t>
      </w:r>
      <w:r>
        <w:rPr>
          <w:rStyle w:val="Strong"/>
        </w:rPr>
        <w:t>LDA (shrinkage)</w:t>
      </w:r>
      <w:r>
        <w:t xml:space="preserve"> a close second. </w:t>
      </w:r>
      <w:r>
        <w:rPr>
          <w:rStyle w:val="Strong"/>
        </w:rPr>
        <w:t>Linear SVM</w:t>
      </w:r>
      <w:r>
        <w:t xml:space="preserve"> trails those probabilistic linear models—consistent with some recall loss on minority obesity classes—while </w:t>
      </w:r>
      <w:r>
        <w:rPr>
          <w:rStyle w:val="Strong"/>
        </w:rPr>
        <w:t>Gaussian Naïve Bayes</w:t>
      </w:r>
      <w:r>
        <w:t xml:space="preserve"> performs worst, likely due to its conditional-independence assumption on mixed, correlated features. The small gap between Logistic Regression and LDA suggests </w:t>
      </w:r>
      <w:r w:rsidR="00B80B63">
        <w:t>that both capture the tabular signal well, but LR remains the strongest overall when performance is equalized</w:t>
      </w:r>
      <w:r>
        <w:t xml:space="preserve"> across all seven classes.</w:t>
      </w:r>
    </w:p>
    <w:p w14:paraId="0F26D1D7" w14:textId="77777777" w:rsidR="00265D8C" w:rsidRDefault="00265D8C" w:rsidP="00265D8C">
      <w:pPr>
        <w:spacing w:after="0" w:line="480" w:lineRule="auto"/>
      </w:pPr>
    </w:p>
    <w:sectPr w:rsidR="00265D8C" w:rsidSect="00034616">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F77710" w14:textId="77777777" w:rsidR="008C6AF2" w:rsidRDefault="008C6AF2">
      <w:pPr>
        <w:spacing w:after="0" w:line="240" w:lineRule="auto"/>
      </w:pPr>
      <w:r>
        <w:separator/>
      </w:r>
    </w:p>
  </w:endnote>
  <w:endnote w:type="continuationSeparator" w:id="0">
    <w:p w14:paraId="0C20021F" w14:textId="77777777" w:rsidR="008C6AF2" w:rsidRDefault="008C6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213AD9" w14:textId="77777777" w:rsidR="0099522E" w:rsidRDefault="00000000">
    <w:pPr>
      <w:jc w:val="right"/>
    </w:pPr>
    <w:r>
      <w:fldChar w:fldCharType="begin"/>
    </w:r>
    <w:r>
      <w:instrText>PAGE</w:instrText>
    </w:r>
    <w:r>
      <w:fldChar w:fldCharType="separate"/>
    </w:r>
    <w:r w:rsidR="00BC7A1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F1CFB0" w14:textId="77777777" w:rsidR="008C6AF2" w:rsidRDefault="008C6AF2">
      <w:pPr>
        <w:spacing w:after="0" w:line="240" w:lineRule="auto"/>
      </w:pPr>
      <w:r>
        <w:separator/>
      </w:r>
    </w:p>
  </w:footnote>
  <w:footnote w:type="continuationSeparator" w:id="0">
    <w:p w14:paraId="09364682" w14:textId="77777777" w:rsidR="008C6AF2" w:rsidRDefault="008C6A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BE36E9"/>
    <w:multiLevelType w:val="hybridMultilevel"/>
    <w:tmpl w:val="B1BA9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7859530">
    <w:abstractNumId w:val="8"/>
  </w:num>
  <w:num w:numId="2" w16cid:durableId="20597746">
    <w:abstractNumId w:val="6"/>
  </w:num>
  <w:num w:numId="3" w16cid:durableId="62488463">
    <w:abstractNumId w:val="5"/>
  </w:num>
  <w:num w:numId="4" w16cid:durableId="921599109">
    <w:abstractNumId w:val="4"/>
  </w:num>
  <w:num w:numId="5" w16cid:durableId="1796293169">
    <w:abstractNumId w:val="7"/>
  </w:num>
  <w:num w:numId="6" w16cid:durableId="1970430194">
    <w:abstractNumId w:val="3"/>
  </w:num>
  <w:num w:numId="7" w16cid:durableId="1064907748">
    <w:abstractNumId w:val="2"/>
  </w:num>
  <w:num w:numId="8" w16cid:durableId="1200628832">
    <w:abstractNumId w:val="1"/>
  </w:num>
  <w:num w:numId="9" w16cid:durableId="726756410">
    <w:abstractNumId w:val="0"/>
  </w:num>
  <w:num w:numId="10" w16cid:durableId="2898243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74F4"/>
    <w:rsid w:val="0015074B"/>
    <w:rsid w:val="00265D8C"/>
    <w:rsid w:val="0029639D"/>
    <w:rsid w:val="00326F90"/>
    <w:rsid w:val="004951CD"/>
    <w:rsid w:val="008C6AF2"/>
    <w:rsid w:val="00913E40"/>
    <w:rsid w:val="0099522E"/>
    <w:rsid w:val="00AA1D8D"/>
    <w:rsid w:val="00B47730"/>
    <w:rsid w:val="00B80B63"/>
    <w:rsid w:val="00BC7A1A"/>
    <w:rsid w:val="00CB0664"/>
    <w:rsid w:val="00E865C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15964C"/>
  <w14:defaultImageDpi w14:val="300"/>
  <w15:docId w15:val="{B0FE3C11-B97A-46BA-80B2-411B92391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265D8C"/>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9</Pages>
  <Words>874</Words>
  <Characters>5913</Characters>
  <Application>Microsoft Office Word</Application>
  <DocSecurity>0</DocSecurity>
  <Lines>113</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Eliseo Ilarraza</cp:lastModifiedBy>
  <cp:revision>3</cp:revision>
  <dcterms:created xsi:type="dcterms:W3CDTF">2013-12-23T23:15:00Z</dcterms:created>
  <dcterms:modified xsi:type="dcterms:W3CDTF">2025-10-24T04:55:00Z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f1827ea7-7e0e-49a2-b5d3-f80d96ec183a</vt:lpwstr>
  </property>
</Properties>
</file>