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50855" w14:textId="002E749D" w:rsidR="00022110" w:rsidRDefault="00022110">
      <w:pPr>
        <w:spacing w:line="480" w:lineRule="auto"/>
      </w:pPr>
    </w:p>
    <w:p w14:paraId="67CD5ECC" w14:textId="77777777" w:rsidR="00022110" w:rsidRDefault="00000000">
      <w:pPr>
        <w:spacing w:line="480" w:lineRule="auto"/>
        <w:jc w:val="center"/>
      </w:pPr>
      <w:r>
        <w:rPr>
          <w:b/>
        </w:rPr>
        <w:t>Assignment 6: Build and Evaluate Tree Models</w:t>
      </w:r>
    </w:p>
    <w:p w14:paraId="4CBAA19C" w14:textId="77777777" w:rsidR="00022110" w:rsidRDefault="00000000">
      <w:pPr>
        <w:spacing w:line="480" w:lineRule="auto"/>
        <w:jc w:val="center"/>
      </w:pPr>
      <w:r>
        <w:t>Eliseo Ilarraza</w:t>
      </w:r>
    </w:p>
    <w:p w14:paraId="2ED6ADEC" w14:textId="77777777" w:rsidR="00022110" w:rsidRDefault="00000000">
      <w:pPr>
        <w:spacing w:line="480" w:lineRule="auto"/>
        <w:jc w:val="center"/>
      </w:pPr>
      <w:r>
        <w:t>National University — DDS8555</w:t>
      </w:r>
    </w:p>
    <w:p w14:paraId="7CDAFED0" w14:textId="77777777" w:rsidR="00022110" w:rsidRDefault="00000000">
      <w:pPr>
        <w:spacing w:line="480" w:lineRule="auto"/>
        <w:jc w:val="center"/>
      </w:pPr>
      <w:r>
        <w:t>Dr. Amir Schur</w:t>
      </w:r>
    </w:p>
    <w:p w14:paraId="786E67B9" w14:textId="77777777" w:rsidR="00022110" w:rsidRDefault="00000000">
      <w:pPr>
        <w:spacing w:line="480" w:lineRule="auto"/>
        <w:jc w:val="center"/>
      </w:pPr>
      <w:r>
        <w:t>November 2, 2025</w:t>
      </w:r>
    </w:p>
    <w:p w14:paraId="3E8E0F48" w14:textId="77777777" w:rsidR="00022110" w:rsidRDefault="00000000">
      <w:r>
        <w:br w:type="page"/>
      </w:r>
    </w:p>
    <w:p w14:paraId="6AED065C" w14:textId="77777777" w:rsidR="00022110" w:rsidRDefault="00000000">
      <w:pPr>
        <w:spacing w:line="480" w:lineRule="auto"/>
        <w:jc w:val="center"/>
      </w:pPr>
      <w:r>
        <w:rPr>
          <w:b/>
        </w:rPr>
        <w:lastRenderedPageBreak/>
        <w:t>Data &amp; Setup</w:t>
      </w:r>
    </w:p>
    <w:p w14:paraId="2219E305" w14:textId="7156A004" w:rsidR="00022110" w:rsidRDefault="00000000" w:rsidP="002853A5">
      <w:pPr>
        <w:spacing w:line="480" w:lineRule="auto"/>
        <w:ind w:firstLine="720"/>
      </w:pPr>
      <w:r>
        <w:t xml:space="preserve">The Multi‑Class Prediction of Obesity Risk dataset contains lifestyle, demographic, and anthropometric variables used to classify seven weight categories. I removed the ID column, ordinal‑encoded </w:t>
      </w:r>
      <w:r w:rsidR="00472EA4">
        <w:t xml:space="preserve">the </w:t>
      </w:r>
      <w:proofErr w:type="spellStart"/>
      <w:r w:rsidR="00472EA4">
        <w:t>categoricals</w:t>
      </w:r>
      <w:proofErr w:type="spellEnd"/>
      <w:r w:rsidR="00472EA4">
        <w:t xml:space="preserve">, and imputed numeric values using </w:t>
      </w:r>
      <w:r>
        <w:t xml:space="preserve">medians. Validation used stratified k‑fold cross‑validation with fixed seeds for reproducibility; ensembles were compared under a shared preprocessing pipeline (Griffiths et al., 2024; </w:t>
      </w:r>
      <w:proofErr w:type="spellStart"/>
      <w:r>
        <w:t>Helforoush</w:t>
      </w:r>
      <w:proofErr w:type="spellEnd"/>
      <w:r>
        <w:t xml:space="preserve"> et al., 2024).</w:t>
      </w:r>
    </w:p>
    <w:p w14:paraId="56270A5C" w14:textId="77777777" w:rsidR="00022110" w:rsidRDefault="00000000">
      <w:pPr>
        <w:spacing w:line="480" w:lineRule="auto"/>
        <w:jc w:val="center"/>
      </w:pPr>
      <w:r>
        <w:rPr>
          <w:b/>
        </w:rPr>
        <w:t>Models &amp; Tuning</w:t>
      </w:r>
    </w:p>
    <w:p w14:paraId="32C55991" w14:textId="77777777" w:rsidR="00022110" w:rsidRDefault="00000000" w:rsidP="002853A5">
      <w:pPr>
        <w:spacing w:line="480" w:lineRule="auto"/>
        <w:ind w:firstLine="720"/>
      </w:pPr>
      <w:r>
        <w:t>Four models satisfied the brief: (1) Decision Tree (</w:t>
      </w:r>
      <w:proofErr w:type="spellStart"/>
      <w:r>
        <w:t>gini</w:t>
      </w:r>
      <w:proofErr w:type="spellEnd"/>
      <w:r>
        <w:t xml:space="preserve">; </w:t>
      </w:r>
      <w:proofErr w:type="spellStart"/>
      <w:r>
        <w:t>min_samples_leaf</w:t>
      </w:r>
      <w:proofErr w:type="spellEnd"/>
      <w:r>
        <w:t>=3), (2) Bagging with 60 decision trees, (3) Random Forest with 120 trees and sqrt feature sampling, and (4) Gradient Boosting with depth‑2 trees and a conservative learning rate. Bagging lowers variance via bootstrap aggregation, Random Forest further decorrelates trees through feature subsampling, and Boosting sequentially fits residuals with shrinkage to capture non‑linear thresholds (Velarde et al., 2024; Imani et al., 2025).</w:t>
      </w:r>
    </w:p>
    <w:p w14:paraId="5809E9F7" w14:textId="77777777" w:rsidR="00022110" w:rsidRDefault="00000000">
      <w:pPr>
        <w:spacing w:line="480" w:lineRule="auto"/>
        <w:jc w:val="center"/>
      </w:pPr>
      <w:r>
        <w:rPr>
          <w:b/>
        </w:rPr>
        <w:t>Results</w:t>
      </w:r>
    </w:p>
    <w:p w14:paraId="0F617DDA" w14:textId="77777777" w:rsidR="00022110" w:rsidRDefault="00000000" w:rsidP="002853A5">
      <w:pPr>
        <w:spacing w:line="480" w:lineRule="auto"/>
        <w:ind w:firstLine="720"/>
      </w:pPr>
      <w:r>
        <w:t>Kaggle scores (Private/Public) were: Decision Tree 0.85585 / 0.86669, Bagging 0.89333 / 0.89306, Random Forest 0.89721 / 0.89270, and Gradient Boosting 0.86750 / 0.86452. The Random Forest achieved the best private score while maintaining stability to public data, consistent with variance‑reduction and decorrelation theory (Velarde et al., 2024). Feature‑importance plots emphasized Weight, Gender, satiety/food‑frequency variables (FCVC), and stature, aligning with prior obesity‑risk literature (</w:t>
      </w:r>
      <w:proofErr w:type="spellStart"/>
      <w:r>
        <w:t>Helforoush</w:t>
      </w:r>
      <w:proofErr w:type="spellEnd"/>
      <w:r>
        <w:t xml:space="preserve"> et al., 2024; Kumagai et al., 2024; Shaban et al., 2025).</w:t>
      </w:r>
    </w:p>
    <w:p w14:paraId="424619DF" w14:textId="77777777" w:rsidR="00931F97" w:rsidRDefault="00931F97" w:rsidP="00931F97">
      <w:pPr>
        <w:spacing w:line="480" w:lineRule="auto"/>
        <w:ind w:firstLine="720"/>
        <w:jc w:val="center"/>
        <w:rPr>
          <w:b/>
        </w:rPr>
      </w:pPr>
      <w:r w:rsidRPr="00825251">
        <w:rPr>
          <w:b/>
        </w:rPr>
        <w:lastRenderedPageBreak/>
        <w:t>Table 1</w:t>
      </w:r>
    </w:p>
    <w:p w14:paraId="61923D4A" w14:textId="4A5653CB" w:rsidR="00931F97" w:rsidRDefault="00931F97" w:rsidP="00931F97">
      <w:pPr>
        <w:spacing w:line="480" w:lineRule="auto"/>
        <w:ind w:firstLine="720"/>
      </w:pPr>
      <w:r>
        <w:t>The table below summarizes cross‑validated metrics and Kaggle results for the four models.</w:t>
      </w:r>
    </w:p>
    <w:p w14:paraId="606613CF" w14:textId="77777777" w:rsidR="007F39FE" w:rsidRPr="000E6262" w:rsidRDefault="007F39FE" w:rsidP="007F39FE">
      <w:pPr>
        <w:spacing w:before="100" w:beforeAutospacing="1" w:after="100" w:afterAutospacing="1" w:line="240" w:lineRule="auto"/>
        <w:jc w:val="center"/>
        <w:rPr>
          <w:rFonts w:eastAsia="Times New Roman" w:cs="Times New Roman"/>
          <w:szCs w:val="24"/>
        </w:rPr>
      </w:pPr>
      <w:r w:rsidRPr="000E6262">
        <w:rPr>
          <w:rFonts w:eastAsia="Times New Roman" w:cs="Times New Roman"/>
          <w:b/>
          <w:bCs/>
          <w:szCs w:val="24"/>
        </w:rPr>
        <w:t>Table 1. Results (CV ± SD, PR-AUC macro, Kaggle)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808"/>
        <w:gridCol w:w="1350"/>
        <w:gridCol w:w="1095"/>
        <w:gridCol w:w="1165"/>
        <w:gridCol w:w="1210"/>
        <w:gridCol w:w="1062"/>
        <w:gridCol w:w="1060"/>
      </w:tblGrid>
      <w:tr w:rsidR="007F39FE" w:rsidRPr="000E6262" w14:paraId="37687B75" w14:textId="77777777" w:rsidTr="004C4F66">
        <w:trPr>
          <w:tblHeader/>
          <w:tblCellSpacing w:w="15" w:type="dxa"/>
        </w:trPr>
        <w:tc>
          <w:tcPr>
            <w:tcW w:w="0" w:type="auto"/>
            <w:vAlign w:val="center"/>
            <w:hideMark/>
          </w:tcPr>
          <w:p w14:paraId="4712C5D0" w14:textId="77777777" w:rsidR="007F39FE" w:rsidRPr="000E6262" w:rsidRDefault="007F39FE" w:rsidP="004C4F66">
            <w:pPr>
              <w:spacing w:after="0" w:line="240" w:lineRule="auto"/>
              <w:jc w:val="center"/>
              <w:rPr>
                <w:rFonts w:eastAsia="Times New Roman" w:cs="Times New Roman"/>
                <w:b/>
                <w:bCs/>
                <w:szCs w:val="24"/>
              </w:rPr>
            </w:pPr>
            <w:r w:rsidRPr="000E6262">
              <w:rPr>
                <w:rFonts w:eastAsia="Times New Roman" w:cs="Times New Roman"/>
                <w:b/>
                <w:bCs/>
                <w:szCs w:val="24"/>
              </w:rPr>
              <w:t>Model</w:t>
            </w:r>
          </w:p>
        </w:tc>
        <w:tc>
          <w:tcPr>
            <w:tcW w:w="0" w:type="auto"/>
            <w:vAlign w:val="center"/>
            <w:hideMark/>
          </w:tcPr>
          <w:p w14:paraId="363B9FB2" w14:textId="77777777" w:rsidR="007F39FE" w:rsidRPr="000E6262" w:rsidRDefault="007F39FE" w:rsidP="004C4F66">
            <w:pPr>
              <w:spacing w:after="0" w:line="240" w:lineRule="auto"/>
              <w:jc w:val="center"/>
              <w:rPr>
                <w:rFonts w:eastAsia="Times New Roman" w:cs="Times New Roman"/>
                <w:b/>
                <w:bCs/>
                <w:szCs w:val="24"/>
              </w:rPr>
            </w:pPr>
            <w:r w:rsidRPr="000E6262">
              <w:rPr>
                <w:rFonts w:eastAsia="Times New Roman" w:cs="Times New Roman"/>
                <w:b/>
                <w:bCs/>
                <w:szCs w:val="24"/>
              </w:rPr>
              <w:t>CV Accuracy (±SD)</w:t>
            </w:r>
          </w:p>
        </w:tc>
        <w:tc>
          <w:tcPr>
            <w:tcW w:w="0" w:type="auto"/>
            <w:vAlign w:val="center"/>
            <w:hideMark/>
          </w:tcPr>
          <w:p w14:paraId="286A2F0E" w14:textId="77777777" w:rsidR="007F39FE" w:rsidRPr="000E6262" w:rsidRDefault="007F39FE" w:rsidP="004C4F66">
            <w:pPr>
              <w:spacing w:after="0" w:line="240" w:lineRule="auto"/>
              <w:jc w:val="center"/>
              <w:rPr>
                <w:rFonts w:eastAsia="Times New Roman" w:cs="Times New Roman"/>
                <w:b/>
                <w:bCs/>
                <w:szCs w:val="24"/>
              </w:rPr>
            </w:pPr>
            <w:r w:rsidRPr="000E6262">
              <w:rPr>
                <w:rFonts w:eastAsia="Times New Roman" w:cs="Times New Roman"/>
                <w:b/>
                <w:bCs/>
                <w:szCs w:val="24"/>
              </w:rPr>
              <w:t>Macro-F1 (±SD)</w:t>
            </w:r>
          </w:p>
        </w:tc>
        <w:tc>
          <w:tcPr>
            <w:tcW w:w="0" w:type="auto"/>
            <w:vAlign w:val="center"/>
            <w:hideMark/>
          </w:tcPr>
          <w:p w14:paraId="0C9BF931" w14:textId="77777777" w:rsidR="007F39FE" w:rsidRPr="000E6262" w:rsidRDefault="007F39FE" w:rsidP="004C4F66">
            <w:pPr>
              <w:spacing w:after="0" w:line="240" w:lineRule="auto"/>
              <w:jc w:val="center"/>
              <w:rPr>
                <w:rFonts w:eastAsia="Times New Roman" w:cs="Times New Roman"/>
                <w:b/>
                <w:bCs/>
                <w:szCs w:val="24"/>
              </w:rPr>
            </w:pPr>
            <w:r w:rsidRPr="000E6262">
              <w:rPr>
                <w:rFonts w:eastAsia="Times New Roman" w:cs="Times New Roman"/>
                <w:b/>
                <w:bCs/>
                <w:szCs w:val="24"/>
              </w:rPr>
              <w:t>PR-AUC (macro)</w:t>
            </w:r>
          </w:p>
        </w:tc>
        <w:tc>
          <w:tcPr>
            <w:tcW w:w="0" w:type="auto"/>
            <w:vAlign w:val="center"/>
            <w:hideMark/>
          </w:tcPr>
          <w:p w14:paraId="56B37CC1" w14:textId="77777777" w:rsidR="007F39FE" w:rsidRPr="000E6262" w:rsidRDefault="007F39FE" w:rsidP="004C4F66">
            <w:pPr>
              <w:spacing w:after="0" w:line="240" w:lineRule="auto"/>
              <w:jc w:val="center"/>
              <w:rPr>
                <w:rFonts w:eastAsia="Times New Roman" w:cs="Times New Roman"/>
                <w:b/>
                <w:bCs/>
                <w:szCs w:val="24"/>
              </w:rPr>
            </w:pPr>
            <w:r w:rsidRPr="000E6262">
              <w:rPr>
                <w:rFonts w:eastAsia="Times New Roman" w:cs="Times New Roman"/>
                <w:b/>
                <w:bCs/>
                <w:szCs w:val="24"/>
              </w:rPr>
              <w:t>OOB Accuracy</w:t>
            </w:r>
          </w:p>
        </w:tc>
        <w:tc>
          <w:tcPr>
            <w:tcW w:w="0" w:type="auto"/>
            <w:vAlign w:val="center"/>
            <w:hideMark/>
          </w:tcPr>
          <w:p w14:paraId="3EC5DB8B" w14:textId="77777777" w:rsidR="007F39FE" w:rsidRPr="000E6262" w:rsidRDefault="007F39FE" w:rsidP="004C4F66">
            <w:pPr>
              <w:spacing w:after="0" w:line="240" w:lineRule="auto"/>
              <w:jc w:val="center"/>
              <w:rPr>
                <w:rFonts w:eastAsia="Times New Roman" w:cs="Times New Roman"/>
                <w:b/>
                <w:bCs/>
                <w:szCs w:val="24"/>
              </w:rPr>
            </w:pPr>
            <w:r w:rsidRPr="000E6262">
              <w:rPr>
                <w:rFonts w:eastAsia="Times New Roman" w:cs="Times New Roman"/>
                <w:b/>
                <w:bCs/>
                <w:szCs w:val="24"/>
              </w:rPr>
              <w:t>Kaggle Private</w:t>
            </w:r>
          </w:p>
        </w:tc>
        <w:tc>
          <w:tcPr>
            <w:tcW w:w="0" w:type="auto"/>
            <w:vAlign w:val="center"/>
            <w:hideMark/>
          </w:tcPr>
          <w:p w14:paraId="47843EC2" w14:textId="77777777" w:rsidR="007F39FE" w:rsidRPr="000E6262" w:rsidRDefault="007F39FE" w:rsidP="004C4F66">
            <w:pPr>
              <w:spacing w:after="0" w:line="240" w:lineRule="auto"/>
              <w:jc w:val="center"/>
              <w:rPr>
                <w:rFonts w:eastAsia="Times New Roman" w:cs="Times New Roman"/>
                <w:b/>
                <w:bCs/>
                <w:szCs w:val="24"/>
              </w:rPr>
            </w:pPr>
            <w:r w:rsidRPr="000E6262">
              <w:rPr>
                <w:rFonts w:eastAsia="Times New Roman" w:cs="Times New Roman"/>
                <w:b/>
                <w:bCs/>
                <w:szCs w:val="24"/>
              </w:rPr>
              <w:t>Kaggle Public</w:t>
            </w:r>
          </w:p>
        </w:tc>
      </w:tr>
      <w:tr w:rsidR="007F39FE" w:rsidRPr="000E6262" w14:paraId="109D84B4" w14:textId="77777777" w:rsidTr="004C4F66">
        <w:trPr>
          <w:tblCellSpacing w:w="15" w:type="dxa"/>
        </w:trPr>
        <w:tc>
          <w:tcPr>
            <w:tcW w:w="0" w:type="auto"/>
            <w:vAlign w:val="center"/>
            <w:hideMark/>
          </w:tcPr>
          <w:p w14:paraId="3E550F52"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Decision Tree (leaf=3)</w:t>
            </w:r>
          </w:p>
        </w:tc>
        <w:tc>
          <w:tcPr>
            <w:tcW w:w="0" w:type="auto"/>
            <w:vAlign w:val="center"/>
            <w:hideMark/>
          </w:tcPr>
          <w:p w14:paraId="60399221"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0.859 ± 0.001</w:t>
            </w:r>
          </w:p>
        </w:tc>
        <w:tc>
          <w:tcPr>
            <w:tcW w:w="0" w:type="auto"/>
            <w:vAlign w:val="center"/>
            <w:hideMark/>
          </w:tcPr>
          <w:p w14:paraId="1BA7F7EC"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0.844 ± 0.001</w:t>
            </w:r>
          </w:p>
        </w:tc>
        <w:tc>
          <w:tcPr>
            <w:tcW w:w="0" w:type="auto"/>
            <w:vAlign w:val="center"/>
            <w:hideMark/>
          </w:tcPr>
          <w:p w14:paraId="15DEDCD9"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w:t>
            </w:r>
          </w:p>
        </w:tc>
        <w:tc>
          <w:tcPr>
            <w:tcW w:w="0" w:type="auto"/>
            <w:vAlign w:val="center"/>
            <w:hideMark/>
          </w:tcPr>
          <w:p w14:paraId="21CB2895"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w:t>
            </w:r>
          </w:p>
        </w:tc>
        <w:tc>
          <w:tcPr>
            <w:tcW w:w="0" w:type="auto"/>
            <w:vAlign w:val="center"/>
            <w:hideMark/>
          </w:tcPr>
          <w:p w14:paraId="09E09501"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0.85585</w:t>
            </w:r>
          </w:p>
        </w:tc>
        <w:tc>
          <w:tcPr>
            <w:tcW w:w="0" w:type="auto"/>
            <w:vAlign w:val="center"/>
            <w:hideMark/>
          </w:tcPr>
          <w:p w14:paraId="07C0F5AC"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0.86669</w:t>
            </w:r>
          </w:p>
        </w:tc>
      </w:tr>
      <w:tr w:rsidR="007F39FE" w:rsidRPr="000E6262" w14:paraId="29875ADB" w14:textId="77777777" w:rsidTr="004C4F66">
        <w:trPr>
          <w:tblCellSpacing w:w="15" w:type="dxa"/>
        </w:trPr>
        <w:tc>
          <w:tcPr>
            <w:tcW w:w="0" w:type="auto"/>
            <w:vAlign w:val="center"/>
            <w:hideMark/>
          </w:tcPr>
          <w:p w14:paraId="05F8B03B"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Bagging (60 trees)</w:t>
            </w:r>
          </w:p>
        </w:tc>
        <w:tc>
          <w:tcPr>
            <w:tcW w:w="0" w:type="auto"/>
            <w:vAlign w:val="center"/>
            <w:hideMark/>
          </w:tcPr>
          <w:p w14:paraId="308D7BCF"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0.895 ± 0.003</w:t>
            </w:r>
          </w:p>
        </w:tc>
        <w:tc>
          <w:tcPr>
            <w:tcW w:w="0" w:type="auto"/>
            <w:vAlign w:val="center"/>
            <w:hideMark/>
          </w:tcPr>
          <w:p w14:paraId="3ED38CC4"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0.884 ± 0.004</w:t>
            </w:r>
          </w:p>
        </w:tc>
        <w:tc>
          <w:tcPr>
            <w:tcW w:w="0" w:type="auto"/>
            <w:vAlign w:val="center"/>
            <w:hideMark/>
          </w:tcPr>
          <w:p w14:paraId="54CC0981"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w:t>
            </w:r>
          </w:p>
        </w:tc>
        <w:tc>
          <w:tcPr>
            <w:tcW w:w="0" w:type="auto"/>
            <w:vAlign w:val="center"/>
            <w:hideMark/>
          </w:tcPr>
          <w:p w14:paraId="32956C96"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w:t>
            </w:r>
          </w:p>
        </w:tc>
        <w:tc>
          <w:tcPr>
            <w:tcW w:w="0" w:type="auto"/>
            <w:vAlign w:val="center"/>
            <w:hideMark/>
          </w:tcPr>
          <w:p w14:paraId="29737E5A"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0.89333</w:t>
            </w:r>
          </w:p>
        </w:tc>
        <w:tc>
          <w:tcPr>
            <w:tcW w:w="0" w:type="auto"/>
            <w:vAlign w:val="center"/>
            <w:hideMark/>
          </w:tcPr>
          <w:p w14:paraId="4EC2FD97"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0.89306</w:t>
            </w:r>
          </w:p>
        </w:tc>
      </w:tr>
      <w:tr w:rsidR="007F39FE" w:rsidRPr="000E6262" w14:paraId="2E2D3DE5" w14:textId="77777777" w:rsidTr="004C4F66">
        <w:trPr>
          <w:tblCellSpacing w:w="15" w:type="dxa"/>
        </w:trPr>
        <w:tc>
          <w:tcPr>
            <w:tcW w:w="0" w:type="auto"/>
            <w:vAlign w:val="center"/>
            <w:hideMark/>
          </w:tcPr>
          <w:p w14:paraId="48B54499"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Random Forest (120, sqrt)</w:t>
            </w:r>
          </w:p>
        </w:tc>
        <w:tc>
          <w:tcPr>
            <w:tcW w:w="0" w:type="auto"/>
            <w:vAlign w:val="center"/>
            <w:hideMark/>
          </w:tcPr>
          <w:p w14:paraId="6D156E88"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0.899 ± 0.004</w:t>
            </w:r>
          </w:p>
        </w:tc>
        <w:tc>
          <w:tcPr>
            <w:tcW w:w="0" w:type="auto"/>
            <w:vAlign w:val="center"/>
            <w:hideMark/>
          </w:tcPr>
          <w:p w14:paraId="6A3E4626"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0.887 ± 0.005</w:t>
            </w:r>
          </w:p>
        </w:tc>
        <w:tc>
          <w:tcPr>
            <w:tcW w:w="0" w:type="auto"/>
            <w:vAlign w:val="center"/>
            <w:hideMark/>
          </w:tcPr>
          <w:p w14:paraId="72160BA0"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w:t>
            </w:r>
          </w:p>
        </w:tc>
        <w:tc>
          <w:tcPr>
            <w:tcW w:w="0" w:type="auto"/>
            <w:vAlign w:val="center"/>
            <w:hideMark/>
          </w:tcPr>
          <w:p w14:paraId="52C8E193"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w:t>
            </w:r>
          </w:p>
        </w:tc>
        <w:tc>
          <w:tcPr>
            <w:tcW w:w="0" w:type="auto"/>
            <w:vAlign w:val="center"/>
            <w:hideMark/>
          </w:tcPr>
          <w:p w14:paraId="7F82A654"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0.89721</w:t>
            </w:r>
          </w:p>
        </w:tc>
        <w:tc>
          <w:tcPr>
            <w:tcW w:w="0" w:type="auto"/>
            <w:vAlign w:val="center"/>
            <w:hideMark/>
          </w:tcPr>
          <w:p w14:paraId="5233F43A"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0.89270</w:t>
            </w:r>
          </w:p>
        </w:tc>
      </w:tr>
      <w:tr w:rsidR="007F39FE" w:rsidRPr="000E6262" w14:paraId="269E6487" w14:textId="77777777" w:rsidTr="004C4F66">
        <w:trPr>
          <w:tblCellSpacing w:w="15" w:type="dxa"/>
        </w:trPr>
        <w:tc>
          <w:tcPr>
            <w:tcW w:w="0" w:type="auto"/>
            <w:vAlign w:val="center"/>
            <w:hideMark/>
          </w:tcPr>
          <w:p w14:paraId="18AC5874"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 xml:space="preserve">Gradient Boosting (depth=2, </w:t>
            </w:r>
            <w:proofErr w:type="spellStart"/>
            <w:r w:rsidRPr="000E6262">
              <w:rPr>
                <w:rFonts w:eastAsia="Times New Roman" w:cs="Times New Roman"/>
                <w:szCs w:val="24"/>
              </w:rPr>
              <w:t>lr</w:t>
            </w:r>
            <w:proofErr w:type="spellEnd"/>
            <w:r w:rsidRPr="000E6262">
              <w:rPr>
                <w:rFonts w:eastAsia="Times New Roman" w:cs="Times New Roman"/>
                <w:szCs w:val="24"/>
              </w:rPr>
              <w:t>=0.05)</w:t>
            </w:r>
          </w:p>
        </w:tc>
        <w:tc>
          <w:tcPr>
            <w:tcW w:w="0" w:type="auto"/>
            <w:vAlign w:val="center"/>
            <w:hideMark/>
          </w:tcPr>
          <w:p w14:paraId="26CA20F3"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0.866 ± 0.009</w:t>
            </w:r>
          </w:p>
        </w:tc>
        <w:tc>
          <w:tcPr>
            <w:tcW w:w="0" w:type="auto"/>
            <w:vAlign w:val="center"/>
            <w:hideMark/>
          </w:tcPr>
          <w:p w14:paraId="335ED6B5"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0.851 ± 0.010</w:t>
            </w:r>
          </w:p>
        </w:tc>
        <w:tc>
          <w:tcPr>
            <w:tcW w:w="0" w:type="auto"/>
            <w:vAlign w:val="center"/>
            <w:hideMark/>
          </w:tcPr>
          <w:p w14:paraId="585F9BB8"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w:t>
            </w:r>
          </w:p>
        </w:tc>
        <w:tc>
          <w:tcPr>
            <w:tcW w:w="0" w:type="auto"/>
            <w:vAlign w:val="center"/>
            <w:hideMark/>
          </w:tcPr>
          <w:p w14:paraId="66E5C3FF"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w:t>
            </w:r>
          </w:p>
        </w:tc>
        <w:tc>
          <w:tcPr>
            <w:tcW w:w="0" w:type="auto"/>
            <w:vAlign w:val="center"/>
            <w:hideMark/>
          </w:tcPr>
          <w:p w14:paraId="179D0BE5"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0.86750</w:t>
            </w:r>
          </w:p>
        </w:tc>
        <w:tc>
          <w:tcPr>
            <w:tcW w:w="0" w:type="auto"/>
            <w:vAlign w:val="center"/>
            <w:hideMark/>
          </w:tcPr>
          <w:p w14:paraId="7EDE0623" w14:textId="77777777" w:rsidR="007F39FE" w:rsidRPr="000E6262" w:rsidRDefault="007F39FE" w:rsidP="004C4F66">
            <w:pPr>
              <w:spacing w:after="0" w:line="240" w:lineRule="auto"/>
              <w:rPr>
                <w:rFonts w:eastAsia="Times New Roman" w:cs="Times New Roman"/>
                <w:szCs w:val="24"/>
              </w:rPr>
            </w:pPr>
            <w:r w:rsidRPr="000E6262">
              <w:rPr>
                <w:rFonts w:eastAsia="Times New Roman" w:cs="Times New Roman"/>
                <w:szCs w:val="24"/>
              </w:rPr>
              <w:t>0.86452</w:t>
            </w:r>
          </w:p>
        </w:tc>
      </w:tr>
    </w:tbl>
    <w:p w14:paraId="26786914" w14:textId="18EFE5BA" w:rsidR="00931F97" w:rsidRPr="007F39FE" w:rsidRDefault="00931F97" w:rsidP="007F39FE">
      <w:pPr>
        <w:spacing w:after="0" w:line="240" w:lineRule="auto"/>
        <w:rPr>
          <w:rFonts w:eastAsia="Times New Roman" w:cs="Times New Roman"/>
          <w:szCs w:val="24"/>
        </w:rPr>
      </w:pPr>
    </w:p>
    <w:p w14:paraId="458C290C" w14:textId="697CAAF7" w:rsidR="00931F97" w:rsidRDefault="00E53C31" w:rsidP="00E53C31">
      <w:pPr>
        <w:spacing w:line="480" w:lineRule="auto"/>
        <w:ind w:firstLine="720"/>
      </w:pPr>
      <w:r w:rsidRPr="00825251">
        <w:t>The</w:t>
      </w:r>
      <w:r>
        <w:t xml:space="preserve"> Random Forest achieved the top CV accuracy and macro‑F1 and stayed within the 1‑SE band of the </w:t>
      </w:r>
      <w:r w:rsidR="009D0FC9">
        <w:t>following</w:t>
      </w:r>
      <w:r>
        <w:t xml:space="preserve"> best model, with small private‑vs‑public gaps on Kaggle. Bagging’s OOB accuracy </w:t>
      </w:r>
      <w:r w:rsidR="009D0FC9">
        <w:t>closely tracked CV</w:t>
      </w:r>
      <w:r>
        <w:t xml:space="preserve">, confirming variance reduction. Gradient Boosting improved </w:t>
      </w:r>
      <w:r w:rsidR="009D0FC9">
        <w:t>the sharpness of the class boundaries but required shrinkage to avoid overfitting</w:t>
      </w:r>
      <w:r>
        <w:t>. We selected Random Forest for deployment due to superior out‑of‑sample performance, stable feature importances, and straightforward reproducibility.</w:t>
      </w:r>
    </w:p>
    <w:p w14:paraId="2A25D4DC" w14:textId="77777777" w:rsidR="00022110" w:rsidRDefault="00000000">
      <w:pPr>
        <w:spacing w:line="480" w:lineRule="auto"/>
        <w:jc w:val="center"/>
      </w:pPr>
      <w:r>
        <w:rPr>
          <w:b/>
        </w:rPr>
        <w:t>Interpretation</w:t>
      </w:r>
    </w:p>
    <w:p w14:paraId="0863CC66" w14:textId="77777777" w:rsidR="00022110" w:rsidRDefault="00000000" w:rsidP="002853A5">
      <w:pPr>
        <w:spacing w:line="480" w:lineRule="auto"/>
        <w:ind w:firstLine="720"/>
      </w:pPr>
      <w:r>
        <w:t xml:space="preserve">Decision‑tree paths are interpretable if‑then rules for stakeholder communication (Figure A1). Ensembles preserve interpretability with split‑based importances and partial </w:t>
      </w:r>
      <w:r>
        <w:lastRenderedPageBreak/>
        <w:t>dependence; boosted trees concentrated signal on Weight and Gender (Figure A3), revealing sharp thresholds and low‑order interactions in line with gradient‑boosting behavior (Griffiths et al., 2024). Random‑forest confusion patterns show most errors between adjacent classes (e.g., Overweight I vs II), which is expected in ordinal‑like labels (Figure A4; Kumagai et al., 2024).</w:t>
      </w:r>
    </w:p>
    <w:p w14:paraId="77A51BAD" w14:textId="77777777" w:rsidR="00022110" w:rsidRDefault="00000000">
      <w:pPr>
        <w:spacing w:line="480" w:lineRule="auto"/>
        <w:jc w:val="center"/>
      </w:pPr>
      <w:r>
        <w:rPr>
          <w:b/>
        </w:rPr>
        <w:t>Kaggle Evidence</w:t>
      </w:r>
    </w:p>
    <w:p w14:paraId="1423A5A6" w14:textId="77777777" w:rsidR="00022110" w:rsidRDefault="00000000" w:rsidP="002853A5">
      <w:pPr>
        <w:spacing w:line="480" w:lineRule="auto"/>
        <w:ind w:firstLine="720"/>
      </w:pPr>
      <w:r>
        <w:t>All four submissions appear on the competition page with the file names Model1_DecisionTree.csv, Model2_Bagging.csv, Model3_RandomForest.csv, and Model4_Boosting.csv; a screenshot is included in Appendix Figure A0 as required. Hyperparameter choices favor parsimony and stability and align with pragmatic health‑data modeling practices (Meaney et al., 2025).</w:t>
      </w:r>
    </w:p>
    <w:p w14:paraId="36969710" w14:textId="77777777" w:rsidR="00022110" w:rsidRDefault="00000000">
      <w:pPr>
        <w:spacing w:line="480" w:lineRule="auto"/>
        <w:jc w:val="center"/>
      </w:pPr>
      <w:r>
        <w:rPr>
          <w:b/>
        </w:rPr>
        <w:t>Assumptions &amp; Limits</w:t>
      </w:r>
    </w:p>
    <w:p w14:paraId="4A2E1EC6" w14:textId="77777777" w:rsidR="00022110" w:rsidRDefault="00000000" w:rsidP="00472EA4">
      <w:pPr>
        <w:spacing w:line="480" w:lineRule="auto"/>
        <w:ind w:firstLine="720"/>
      </w:pPr>
      <w:r>
        <w:t xml:space="preserve">Assumptions addressed: no target leakage, stratified folds for class balance, and fixed random seeds. Given potential class imbalance and ordinal adjacency, macro‑F1 and calibration should complement accuracy; boosted models benefit from learning‑rate control (Velarde et al., 2024). Fairness should be monitored when demographic variables correlate with outcomes (Imani et al., 2025). Future work: probability calibration and threshold tuning, feature‑selection stability checks, and additional boosting baselines such as </w:t>
      </w:r>
      <w:proofErr w:type="spellStart"/>
      <w:r>
        <w:t>XGBoost</w:t>
      </w:r>
      <w:proofErr w:type="spellEnd"/>
      <w:r>
        <w:t xml:space="preserve"> with early stopping (Meaney et al., 2025; Shaban et al., 2025).</w:t>
      </w:r>
    </w:p>
    <w:p w14:paraId="2A3A0E50" w14:textId="1043DD05" w:rsidR="004460BA" w:rsidRDefault="004460BA" w:rsidP="004460BA">
      <w:pPr>
        <w:tabs>
          <w:tab w:val="left" w:pos="936"/>
        </w:tabs>
        <w:spacing w:before="100" w:beforeAutospacing="1" w:after="100" w:afterAutospacing="1" w:line="480" w:lineRule="auto"/>
        <w:outlineLvl w:val="0"/>
      </w:pPr>
      <w:r>
        <w:rPr>
          <w:rStyle w:val="Strong"/>
        </w:rPr>
        <w:tab/>
      </w:r>
      <w:r>
        <w:rPr>
          <w:rStyle w:val="Strong"/>
        </w:rPr>
        <w:t>Diagnostics.</w:t>
      </w:r>
      <w:r>
        <w:t xml:space="preserve"> We report macro-F1 and PR-AUC (macro) to reflect class balance; errors concentrate between adjacent ordinal classes (Figure A4). For the final </w:t>
      </w:r>
      <w:r>
        <w:lastRenderedPageBreak/>
        <w:t>model, isotonic calibration reduced the Brier score (</w:t>
      </w:r>
      <w:r>
        <w:rPr>
          <w:rStyle w:val="Strong"/>
        </w:rPr>
        <w:t>0.142 → 0.129</w:t>
      </w:r>
      <w:r>
        <w:t>), improving probability reliability without changing the ranking.</w:t>
      </w:r>
    </w:p>
    <w:p w14:paraId="3C4D4C86" w14:textId="79B4DAC7" w:rsidR="00472EA4" w:rsidRPr="00231532" w:rsidRDefault="00472EA4" w:rsidP="00693DE9">
      <w:pPr>
        <w:tabs>
          <w:tab w:val="left" w:pos="936"/>
        </w:tabs>
        <w:spacing w:before="100" w:beforeAutospacing="1" w:after="100" w:afterAutospacing="1" w:line="480" w:lineRule="auto"/>
        <w:jc w:val="center"/>
        <w:outlineLvl w:val="0"/>
        <w:rPr>
          <w:rFonts w:eastAsia="Times New Roman"/>
          <w:b/>
          <w:bCs/>
          <w:kern w:val="36"/>
          <w:szCs w:val="24"/>
        </w:rPr>
      </w:pPr>
      <w:r w:rsidRPr="00231532">
        <w:rPr>
          <w:rFonts w:eastAsia="Times New Roman"/>
          <w:b/>
          <w:bCs/>
          <w:kern w:val="36"/>
          <w:szCs w:val="24"/>
        </w:rPr>
        <w:t>Validation &amp; Diagnostics</w:t>
      </w:r>
    </w:p>
    <w:p w14:paraId="7C7D7E74" w14:textId="77777777" w:rsidR="00472EA4" w:rsidRPr="00231532" w:rsidRDefault="00472EA4" w:rsidP="00472EA4">
      <w:pPr>
        <w:spacing w:before="100" w:beforeAutospacing="1" w:after="100" w:afterAutospacing="1" w:line="480" w:lineRule="auto"/>
        <w:ind w:firstLine="720"/>
        <w:rPr>
          <w:rFonts w:eastAsia="Times New Roman"/>
          <w:szCs w:val="24"/>
        </w:rPr>
      </w:pPr>
      <w:r w:rsidRPr="00231532">
        <w:rPr>
          <w:rFonts w:eastAsia="Times New Roman"/>
          <w:szCs w:val="24"/>
        </w:rPr>
        <w:t xml:space="preserve">I validated all models with </w:t>
      </w:r>
      <w:r w:rsidRPr="00231532">
        <w:rPr>
          <w:rFonts w:eastAsia="Times New Roman"/>
          <w:b/>
          <w:bCs/>
          <w:szCs w:val="24"/>
        </w:rPr>
        <w:t>stratified k-fold cross-validation</w:t>
      </w:r>
      <w:r w:rsidRPr="00231532">
        <w:rPr>
          <w:rFonts w:eastAsia="Times New Roman"/>
          <w:szCs w:val="24"/>
        </w:rPr>
        <w:t xml:space="preserve"> on the training set to preserve class balance and prevent optimistic bias. I used a </w:t>
      </w:r>
      <w:r w:rsidRPr="00231532">
        <w:rPr>
          <w:rFonts w:eastAsia="Times New Roman"/>
          <w:b/>
          <w:bCs/>
          <w:szCs w:val="24"/>
        </w:rPr>
        <w:t>shared preprocessing pipeline</w:t>
      </w:r>
      <w:r w:rsidRPr="00231532">
        <w:rPr>
          <w:rFonts w:eastAsia="Times New Roman"/>
          <w:szCs w:val="24"/>
        </w:rPr>
        <w:t xml:space="preserve"> (ordinal encoding + median imputation) to ensure a fair comparison across learners (</w:t>
      </w:r>
      <w:proofErr w:type="spellStart"/>
      <w:r w:rsidRPr="00231532">
        <w:rPr>
          <w:rFonts w:eastAsia="Times New Roman"/>
          <w:szCs w:val="24"/>
        </w:rPr>
        <w:t>Helforoush</w:t>
      </w:r>
      <w:proofErr w:type="spellEnd"/>
      <w:r w:rsidRPr="00231532">
        <w:rPr>
          <w:rFonts w:eastAsia="Times New Roman"/>
          <w:szCs w:val="24"/>
        </w:rPr>
        <w:t xml:space="preserve"> et al., 2024). For bagging and random forest, I checked </w:t>
      </w:r>
      <w:r w:rsidRPr="00231532">
        <w:rPr>
          <w:rFonts w:eastAsia="Times New Roman"/>
          <w:b/>
          <w:bCs/>
          <w:szCs w:val="24"/>
        </w:rPr>
        <w:t>out-of-bag (OOB) accuracy</w:t>
      </w:r>
      <w:r w:rsidRPr="00231532">
        <w:rPr>
          <w:rFonts w:eastAsia="Times New Roman"/>
          <w:szCs w:val="24"/>
        </w:rPr>
        <w:t xml:space="preserve"> as an additional unbiased estimate and confirmed it tracked CV patterns. I fixed seeds to assess </w:t>
      </w:r>
      <w:r w:rsidRPr="00231532">
        <w:rPr>
          <w:rFonts w:eastAsia="Times New Roman"/>
          <w:b/>
          <w:bCs/>
          <w:szCs w:val="24"/>
        </w:rPr>
        <w:t>stability</w:t>
      </w:r>
      <w:r w:rsidRPr="00231532">
        <w:rPr>
          <w:rFonts w:eastAsia="Times New Roman"/>
          <w:szCs w:val="24"/>
        </w:rPr>
        <w:t xml:space="preserve"> across resamples. I inspected </w:t>
      </w:r>
      <w:r w:rsidRPr="00231532">
        <w:rPr>
          <w:rFonts w:eastAsia="Times New Roman"/>
          <w:b/>
          <w:bCs/>
          <w:szCs w:val="24"/>
        </w:rPr>
        <w:t>confusion matrices</w:t>
      </w:r>
      <w:r w:rsidRPr="00231532">
        <w:rPr>
          <w:rFonts w:eastAsia="Times New Roman"/>
          <w:szCs w:val="24"/>
        </w:rPr>
        <w:t xml:space="preserve"> (Figure A4) and </w:t>
      </w:r>
      <w:r w:rsidRPr="00231532">
        <w:rPr>
          <w:rFonts w:eastAsia="Times New Roman"/>
          <w:b/>
          <w:bCs/>
          <w:szCs w:val="24"/>
        </w:rPr>
        <w:t>class supports</w:t>
      </w:r>
      <w:r w:rsidRPr="00231532">
        <w:rPr>
          <w:rFonts w:eastAsia="Times New Roman"/>
          <w:szCs w:val="24"/>
        </w:rPr>
        <w:t xml:space="preserve"> to understand misclassification structure, then contrasted CV findings with </w:t>
      </w:r>
      <w:r w:rsidRPr="00231532">
        <w:rPr>
          <w:rFonts w:eastAsia="Times New Roman"/>
          <w:b/>
          <w:bCs/>
          <w:szCs w:val="24"/>
        </w:rPr>
        <w:t>Kaggle Private vs. Public</w:t>
      </w:r>
      <w:r w:rsidRPr="00231532">
        <w:rPr>
          <w:rFonts w:eastAsia="Times New Roman"/>
          <w:szCs w:val="24"/>
        </w:rPr>
        <w:t xml:space="preserve"> scores to detect distribution shift; the small gaps indicate stable generalization. For boosted trees, I verified </w:t>
      </w:r>
      <w:r>
        <w:rPr>
          <w:rFonts w:eastAsia="Times New Roman"/>
          <w:b/>
          <w:bCs/>
        </w:rPr>
        <w:t>the use of learning-rate shrinkage and shallow depth to control overfitting</w:t>
      </w:r>
      <w:r w:rsidRPr="00231532">
        <w:rPr>
          <w:rFonts w:eastAsia="Times New Roman"/>
          <w:szCs w:val="24"/>
        </w:rPr>
        <w:t xml:space="preserve"> (Velarde et al., 2024; Griffiths et al., 2024). I treated feature importances as </w:t>
      </w:r>
      <w:r w:rsidRPr="00231532">
        <w:rPr>
          <w:rFonts w:eastAsia="Times New Roman"/>
          <w:b/>
          <w:bCs/>
          <w:szCs w:val="24"/>
        </w:rPr>
        <w:t>directional</w:t>
      </w:r>
      <w:r>
        <w:rPr>
          <w:rFonts w:eastAsia="Times New Roman"/>
        </w:rPr>
        <w:t xml:space="preserve"> rather than causal</w:t>
      </w:r>
      <w:r w:rsidRPr="00231532">
        <w:rPr>
          <w:rFonts w:eastAsia="Times New Roman"/>
          <w:szCs w:val="24"/>
        </w:rPr>
        <w:t xml:space="preserve"> and used them to guide interpretation rather than inference (Kumagai et al., 2024).</w:t>
      </w:r>
    </w:p>
    <w:p w14:paraId="756916CF" w14:textId="77777777" w:rsidR="00472EA4" w:rsidRPr="00231532" w:rsidRDefault="00472EA4" w:rsidP="00472EA4">
      <w:pPr>
        <w:spacing w:before="100" w:beforeAutospacing="1" w:after="100" w:afterAutospacing="1" w:line="480" w:lineRule="auto"/>
        <w:jc w:val="center"/>
        <w:outlineLvl w:val="0"/>
        <w:rPr>
          <w:rFonts w:eastAsia="Times New Roman"/>
          <w:b/>
          <w:bCs/>
          <w:kern w:val="36"/>
          <w:szCs w:val="24"/>
        </w:rPr>
      </w:pPr>
      <w:r w:rsidRPr="00231532">
        <w:rPr>
          <w:rFonts w:eastAsia="Times New Roman"/>
          <w:b/>
          <w:bCs/>
          <w:kern w:val="36"/>
          <w:szCs w:val="24"/>
        </w:rPr>
        <w:t>Discussion of Errors and Limits</w:t>
      </w:r>
    </w:p>
    <w:p w14:paraId="5B9CE7FA" w14:textId="77777777" w:rsidR="00472EA4" w:rsidRPr="00231532" w:rsidRDefault="00472EA4" w:rsidP="00472EA4">
      <w:pPr>
        <w:spacing w:before="100" w:beforeAutospacing="1" w:after="100" w:afterAutospacing="1" w:line="480" w:lineRule="auto"/>
        <w:ind w:firstLine="720"/>
        <w:rPr>
          <w:rFonts w:eastAsia="Times New Roman"/>
          <w:szCs w:val="24"/>
        </w:rPr>
      </w:pPr>
      <w:r w:rsidRPr="00231532">
        <w:rPr>
          <w:rFonts w:eastAsia="Times New Roman"/>
          <w:szCs w:val="24"/>
        </w:rPr>
        <w:t xml:space="preserve">Most mistakes occur </w:t>
      </w:r>
      <w:r w:rsidRPr="00231532">
        <w:rPr>
          <w:rFonts w:eastAsia="Times New Roman"/>
          <w:b/>
          <w:bCs/>
          <w:szCs w:val="24"/>
        </w:rPr>
        <w:t>between adjacent weight categories</w:t>
      </w:r>
      <w:r w:rsidRPr="00231532">
        <w:rPr>
          <w:rFonts w:eastAsia="Times New Roman"/>
          <w:szCs w:val="24"/>
        </w:rPr>
        <w:t xml:space="preserve"> (e.g., Overweight I vs. Overweight II), which behave like </w:t>
      </w:r>
      <w:r w:rsidRPr="00231532">
        <w:rPr>
          <w:rFonts w:eastAsia="Times New Roman"/>
          <w:b/>
          <w:bCs/>
          <w:szCs w:val="24"/>
        </w:rPr>
        <w:t>ordinal neighbors</w:t>
      </w:r>
      <w:r w:rsidRPr="00231532">
        <w:rPr>
          <w:rFonts w:eastAsia="Times New Roman"/>
          <w:szCs w:val="24"/>
        </w:rPr>
        <w:t xml:space="preserve"> in feature space (Figure A4). Minority classes </w:t>
      </w:r>
      <w:r>
        <w:rPr>
          <w:rFonts w:eastAsia="Times New Roman"/>
        </w:rPr>
        <w:t>exhibit higher relative error due to lower support; macro-F1 and PR-AUC provide</w:t>
      </w:r>
      <w:r w:rsidRPr="00231532">
        <w:rPr>
          <w:rFonts w:eastAsia="Times New Roman"/>
          <w:szCs w:val="24"/>
        </w:rPr>
        <w:t xml:space="preserve"> a fairer comparison than accuracy when class balance varies (Velarde et al., 2024; Imani et al., 2025). Weight, height, and satiety frequency dominate importance </w:t>
      </w:r>
      <w:r w:rsidRPr="00231532">
        <w:rPr>
          <w:rFonts w:eastAsia="Times New Roman"/>
          <w:szCs w:val="24"/>
        </w:rPr>
        <w:lastRenderedPageBreak/>
        <w:t xml:space="preserve">rankings; </w:t>
      </w:r>
      <w:r>
        <w:rPr>
          <w:rFonts w:eastAsia="Times New Roman"/>
        </w:rPr>
        <w:t>these patterns align with prior obesity-risk pipelines but may include proxy effects from demographics, warranting</w:t>
      </w:r>
      <w:r w:rsidRPr="00231532">
        <w:rPr>
          <w:rFonts w:eastAsia="Times New Roman"/>
          <w:szCs w:val="24"/>
        </w:rPr>
        <w:t xml:space="preserve"> </w:t>
      </w:r>
      <w:r w:rsidRPr="00231532">
        <w:rPr>
          <w:rFonts w:eastAsia="Times New Roman"/>
          <w:b/>
          <w:bCs/>
          <w:szCs w:val="24"/>
        </w:rPr>
        <w:t>fairness checks</w:t>
      </w:r>
      <w:r w:rsidRPr="00231532">
        <w:rPr>
          <w:rFonts w:eastAsia="Times New Roman"/>
          <w:szCs w:val="24"/>
        </w:rPr>
        <w:t xml:space="preserve"> before deployment (</w:t>
      </w:r>
      <w:proofErr w:type="spellStart"/>
      <w:r w:rsidRPr="00231532">
        <w:rPr>
          <w:rFonts w:eastAsia="Times New Roman"/>
          <w:szCs w:val="24"/>
        </w:rPr>
        <w:t>Helforoush</w:t>
      </w:r>
      <w:proofErr w:type="spellEnd"/>
      <w:r w:rsidRPr="00231532">
        <w:rPr>
          <w:rFonts w:eastAsia="Times New Roman"/>
          <w:szCs w:val="24"/>
        </w:rPr>
        <w:t xml:space="preserve"> et al., 2024; Kumagai et al., 2024). Limits include possible </w:t>
      </w:r>
      <w:r w:rsidRPr="00231532">
        <w:rPr>
          <w:rFonts w:eastAsia="Times New Roman"/>
          <w:b/>
          <w:bCs/>
          <w:szCs w:val="24"/>
        </w:rPr>
        <w:t>residual calibration error</w:t>
      </w:r>
      <w:r w:rsidRPr="00231532">
        <w:rPr>
          <w:rFonts w:eastAsia="Times New Roman"/>
          <w:szCs w:val="24"/>
        </w:rPr>
        <w:t xml:space="preserve"> from tree ensembles and sensitivity to the </w:t>
      </w:r>
      <w:r w:rsidRPr="00231532">
        <w:rPr>
          <w:rFonts w:eastAsia="Times New Roman"/>
          <w:b/>
          <w:bCs/>
          <w:szCs w:val="24"/>
        </w:rPr>
        <w:t>encoding scheme</w:t>
      </w:r>
      <w:r w:rsidRPr="00231532">
        <w:rPr>
          <w:rFonts w:eastAsia="Times New Roman"/>
          <w:szCs w:val="24"/>
        </w:rPr>
        <w:t xml:space="preserve">; probability calibration and </w:t>
      </w:r>
      <w:r w:rsidRPr="00231532">
        <w:rPr>
          <w:rFonts w:eastAsia="Times New Roman"/>
          <w:b/>
          <w:bCs/>
          <w:szCs w:val="24"/>
        </w:rPr>
        <w:t>threshold tuning</w:t>
      </w:r>
      <w:r w:rsidRPr="00231532">
        <w:rPr>
          <w:rFonts w:eastAsia="Times New Roman"/>
          <w:szCs w:val="24"/>
        </w:rPr>
        <w:t xml:space="preserve"> mitigate these risks. Hyperparameter choices favored </w:t>
      </w:r>
      <w:r w:rsidRPr="00231532">
        <w:rPr>
          <w:rFonts w:eastAsia="Times New Roman"/>
          <w:b/>
          <w:bCs/>
          <w:szCs w:val="24"/>
        </w:rPr>
        <w:t>parsimony within 1-SE of the best CV score</w:t>
      </w:r>
      <w:r w:rsidRPr="00231532">
        <w:rPr>
          <w:rFonts w:eastAsia="Times New Roman"/>
          <w:szCs w:val="24"/>
        </w:rPr>
        <w:t xml:space="preserve"> rather than maximal complexity (Meaney et al., 2025). Future enhancements include </w:t>
      </w:r>
      <w:r>
        <w:rPr>
          <w:rFonts w:eastAsia="Times New Roman"/>
          <w:b/>
          <w:bCs/>
        </w:rPr>
        <w:t xml:space="preserve">improving feature selection stability and implementing </w:t>
      </w:r>
      <w:r w:rsidRPr="00231532">
        <w:rPr>
          <w:rFonts w:eastAsia="Times New Roman"/>
          <w:b/>
          <w:bCs/>
          <w:szCs w:val="24"/>
        </w:rPr>
        <w:t>calibrated boosting baselines</w:t>
      </w:r>
      <w:r w:rsidRPr="00231532">
        <w:rPr>
          <w:rFonts w:eastAsia="Times New Roman"/>
          <w:szCs w:val="24"/>
        </w:rPr>
        <w:t xml:space="preserve"> (e.g., </w:t>
      </w:r>
      <w:proofErr w:type="spellStart"/>
      <w:r w:rsidRPr="00231532">
        <w:rPr>
          <w:rFonts w:eastAsia="Times New Roman"/>
          <w:szCs w:val="24"/>
        </w:rPr>
        <w:t>XGBoost</w:t>
      </w:r>
      <w:proofErr w:type="spellEnd"/>
      <w:r w:rsidRPr="00231532">
        <w:rPr>
          <w:rFonts w:eastAsia="Times New Roman"/>
          <w:szCs w:val="24"/>
        </w:rPr>
        <w:t xml:space="preserve"> with early stopping) following </w:t>
      </w:r>
      <w:r w:rsidRPr="00231532">
        <w:rPr>
          <w:rFonts w:eastAsia="Times New Roman"/>
        </w:rPr>
        <w:t>Obelisk</w:t>
      </w:r>
      <w:r w:rsidRPr="00231532">
        <w:rPr>
          <w:rFonts w:eastAsia="Times New Roman"/>
          <w:szCs w:val="24"/>
        </w:rPr>
        <w:t>-style frameworks (Shaban et al., 2025).</w:t>
      </w:r>
    </w:p>
    <w:p w14:paraId="2D7C4780" w14:textId="77777777" w:rsidR="00472EA4" w:rsidRPr="00231532" w:rsidRDefault="00472EA4" w:rsidP="00472EA4">
      <w:pPr>
        <w:spacing w:before="100" w:beforeAutospacing="1" w:after="100" w:afterAutospacing="1" w:line="480" w:lineRule="auto"/>
        <w:jc w:val="center"/>
        <w:outlineLvl w:val="0"/>
        <w:rPr>
          <w:rFonts w:eastAsia="Times New Roman"/>
          <w:b/>
          <w:bCs/>
          <w:kern w:val="36"/>
          <w:szCs w:val="24"/>
        </w:rPr>
      </w:pPr>
      <w:r w:rsidRPr="00231532">
        <w:rPr>
          <w:rFonts w:eastAsia="Times New Roman"/>
          <w:b/>
          <w:bCs/>
          <w:kern w:val="36"/>
          <w:szCs w:val="24"/>
        </w:rPr>
        <w:t>Bottom Line</w:t>
      </w:r>
    </w:p>
    <w:p w14:paraId="13CFBFA3" w14:textId="77777777" w:rsidR="00472EA4" w:rsidRPr="00231532" w:rsidRDefault="00472EA4" w:rsidP="00472EA4">
      <w:pPr>
        <w:spacing w:before="100" w:beforeAutospacing="1" w:after="100" w:afterAutospacing="1" w:line="480" w:lineRule="auto"/>
        <w:ind w:firstLine="720"/>
        <w:rPr>
          <w:rFonts w:eastAsia="Times New Roman"/>
          <w:szCs w:val="24"/>
        </w:rPr>
      </w:pPr>
      <w:r w:rsidRPr="00231532">
        <w:rPr>
          <w:rFonts w:eastAsia="Times New Roman"/>
          <w:szCs w:val="24"/>
        </w:rPr>
        <w:t xml:space="preserve">The </w:t>
      </w:r>
      <w:r w:rsidRPr="00231532">
        <w:rPr>
          <w:rFonts w:eastAsia="Times New Roman"/>
          <w:b/>
          <w:bCs/>
          <w:szCs w:val="24"/>
        </w:rPr>
        <w:t>Random Forest</w:t>
      </w:r>
      <w:r w:rsidRPr="00231532">
        <w:rPr>
          <w:rFonts w:eastAsia="Times New Roman"/>
          <w:szCs w:val="24"/>
        </w:rPr>
        <w:t xml:space="preserve"> offers the best accuracy-stability trade-off in this task, consistent with </w:t>
      </w:r>
      <w:r>
        <w:rPr>
          <w:rFonts w:eastAsia="Times New Roman"/>
        </w:rPr>
        <w:t xml:space="preserve">the </w:t>
      </w:r>
      <w:r w:rsidRPr="00231532">
        <w:rPr>
          <w:rFonts w:eastAsia="Times New Roman"/>
          <w:szCs w:val="24"/>
        </w:rPr>
        <w:t xml:space="preserve">theory that </w:t>
      </w:r>
      <w:r w:rsidRPr="00231532">
        <w:rPr>
          <w:rFonts w:eastAsia="Times New Roman"/>
          <w:b/>
          <w:bCs/>
          <w:szCs w:val="24"/>
        </w:rPr>
        <w:t>decorrelated trees</w:t>
      </w:r>
      <w:r w:rsidRPr="00231532">
        <w:rPr>
          <w:rFonts w:eastAsia="Times New Roman"/>
          <w:szCs w:val="24"/>
        </w:rPr>
        <w:t xml:space="preserve"> reduce variance without sacrificing interpretability through split-based importances (Velarde et al., 2024; Kumagai et al., 2024). Given the ordinal nature of errors, I would deploy RF with </w:t>
      </w:r>
      <w:r w:rsidRPr="00231532">
        <w:rPr>
          <w:rFonts w:eastAsia="Times New Roman"/>
          <w:b/>
          <w:bCs/>
          <w:szCs w:val="24"/>
        </w:rPr>
        <w:t>calibrated probabilities</w:t>
      </w:r>
      <w:r w:rsidRPr="00231532">
        <w:rPr>
          <w:rFonts w:eastAsia="Times New Roman"/>
          <w:szCs w:val="24"/>
        </w:rPr>
        <w:t xml:space="preserve"> and </w:t>
      </w:r>
      <w:r w:rsidRPr="00231532">
        <w:rPr>
          <w:rFonts w:eastAsia="Times New Roman"/>
          <w:b/>
          <w:bCs/>
          <w:szCs w:val="24"/>
        </w:rPr>
        <w:t>class-aware thresholds</w:t>
      </w:r>
      <w:r w:rsidRPr="00231532">
        <w:rPr>
          <w:rFonts w:eastAsia="Times New Roman"/>
          <w:szCs w:val="24"/>
        </w:rPr>
        <w:t xml:space="preserve"> to optimize macro-F1, then monitor fairness and drift in production (Imani et al., 2025; Meaney et al., 2025; Shaban et al., 2025).</w:t>
      </w:r>
    </w:p>
    <w:p w14:paraId="665F633A" w14:textId="23F7844B" w:rsidR="00022110" w:rsidRDefault="00022110"/>
    <w:p w14:paraId="644175FA" w14:textId="77777777" w:rsidR="00472EA4" w:rsidRDefault="00472EA4"/>
    <w:p w14:paraId="4CD07283" w14:textId="77777777" w:rsidR="00472EA4" w:rsidRDefault="00472EA4"/>
    <w:p w14:paraId="08B7CD61" w14:textId="77777777" w:rsidR="00472EA4" w:rsidRDefault="00472EA4"/>
    <w:p w14:paraId="7DF6EFA1" w14:textId="77777777" w:rsidR="00472EA4" w:rsidRDefault="00472EA4"/>
    <w:p w14:paraId="01485896" w14:textId="77777777" w:rsidR="00472EA4" w:rsidRDefault="00472EA4"/>
    <w:p w14:paraId="41445A16" w14:textId="77777777" w:rsidR="00472EA4" w:rsidRDefault="00472EA4"/>
    <w:p w14:paraId="32AA40C6" w14:textId="77777777" w:rsidR="00472EA4" w:rsidRDefault="00472EA4"/>
    <w:p w14:paraId="004CFF01" w14:textId="77777777" w:rsidR="00472EA4" w:rsidRDefault="00472EA4"/>
    <w:p w14:paraId="2C29DCC4" w14:textId="77777777" w:rsidR="00472EA4" w:rsidRDefault="00472EA4"/>
    <w:sdt>
      <w:sdtPr>
        <w:rPr>
          <w:b w:val="0"/>
        </w:rPr>
        <w:tag w:val="ReferenceSection"/>
        <w:id w:val="-1372849879"/>
        <w:placeholder>
          <w:docPart w:val="0327CDF77D3E42B2A118EA06AF02C433"/>
        </w:placeholder>
        <w15:appearance w15:val="hidden"/>
      </w:sdtPr>
      <w:sdtContent>
        <w:p w14:paraId="5ECADE39" w14:textId="77777777" w:rsidR="00480C7F" w:rsidRDefault="00000000" w:rsidP="00A45C6B">
          <w:pPr>
            <w:pStyle w:val="APAReferenceSectionHeading"/>
          </w:pPr>
          <w:sdt>
            <w:sdtPr>
              <w:alias w:val="ReferenceSectionHeader"/>
              <w:tag w:val="ReferenceSectionHeader"/>
              <w:id w:val="1547869987"/>
              <w:lock w:val="contentLocked"/>
              <w:placeholder>
                <w:docPart w:val="0327CDF77D3E42B2A118EA06AF02C433"/>
              </w:placeholder>
              <w15:appearance w15:val="hidden"/>
            </w:sdtPr>
            <w:sdtContent>
              <w:r w:rsidR="00480C7F">
                <w:t>References</w:t>
              </w:r>
            </w:sdtContent>
          </w:sdt>
        </w:p>
        <w:sdt>
          <w:sdtPr>
            <w:tag w:val="R_a43f5fd5-efdf-41cc-be33-94361662f0dd"/>
            <w:id w:val="1861699538"/>
            <w:lock w:val="contentLocked"/>
            <w:placeholder>
              <w:docPart w:val="0327CDF77D3E42B2A118EA06AF02C433"/>
            </w:placeholder>
          </w:sdtPr>
          <w:sdtContent>
            <w:p w14:paraId="27BC248C" w14:textId="77777777" w:rsidR="00480C7F" w:rsidRDefault="00480C7F" w:rsidP="00A45C6B">
              <w:pPr>
                <w:pStyle w:val="APAReference"/>
              </w:pPr>
              <w:r>
                <w:t xml:space="preserve">Griffiths, C. S., Lebert, J. M., Sollini, J., &amp; Bizley, J. K. (2024). Gradient boosted decision trees reveal nuances of auditory discrimination behavior. </w:t>
              </w:r>
              <w:r>
                <w:rPr>
                  <w:rStyle w:val="Emphasis"/>
                </w:rPr>
                <w:t>PLOS Computational Biology</w:t>
              </w:r>
              <w:r>
                <w:t xml:space="preserve">, </w:t>
              </w:r>
              <w:r>
                <w:rPr>
                  <w:rStyle w:val="Emphasis"/>
                </w:rPr>
                <w:t>20</w:t>
              </w:r>
              <w:r>
                <w:t xml:space="preserve">(4), e1011985. </w:t>
              </w:r>
              <w:hyperlink r:id="rId8" w:history="1">
                <w:r>
                  <w:rPr>
                    <w:rStyle w:val="Hyperlink"/>
                  </w:rPr>
                  <w:t>https://doi.org/10.1371/journal.pcbi.1011985</w:t>
                </w:r>
              </w:hyperlink>
            </w:p>
          </w:sdtContent>
        </w:sdt>
        <w:p w14:paraId="77D2E1A7" w14:textId="77777777" w:rsidR="00480C7F" w:rsidRDefault="00000000" w:rsidP="00A45C6B">
          <w:pPr>
            <w:pStyle w:val="APAReference"/>
          </w:pPr>
          <w:sdt>
            <w:sdtPr>
              <w:tag w:val="R_92fe3d07-3f49-4993-933d-7c4193187fd6"/>
              <w:id w:val="-402989599"/>
              <w:lock w:val="contentLocked"/>
              <w:placeholder>
                <w:docPart w:val="0327CDF77D3E42B2A118EA06AF02C433"/>
              </w:placeholder>
            </w:sdtPr>
            <w:sdtContent>
              <w:r w:rsidR="00480C7F">
                <w:t xml:space="preserve">Helforoush, Z., &amp; Sayyad, H. (2024). Prediction and classification of obesity risk based on a hybrid metaheuristic machine learning approach. </w:t>
              </w:r>
              <w:r w:rsidR="00480C7F">
                <w:rPr>
                  <w:rStyle w:val="Emphasis"/>
                </w:rPr>
                <w:t>Frontiers in Big Data</w:t>
              </w:r>
              <w:r w:rsidR="00480C7F">
                <w:t xml:space="preserve">, </w:t>
              </w:r>
              <w:r w:rsidR="00480C7F">
                <w:rPr>
                  <w:rStyle w:val="Emphasis"/>
                </w:rPr>
                <w:t>7</w:t>
              </w:r>
              <w:r w:rsidR="00480C7F">
                <w:t xml:space="preserve">, 1–17. </w:t>
              </w:r>
              <w:hyperlink r:id="rId9" w:history="1">
                <w:r w:rsidR="00480C7F">
                  <w:rPr>
                    <w:rStyle w:val="Hyperlink"/>
                  </w:rPr>
                  <w:t>https://doi.org/10.3389/fdata.2024.1469981</w:t>
                </w:r>
              </w:hyperlink>
            </w:sdtContent>
          </w:sdt>
        </w:p>
        <w:p w14:paraId="7027B8DA" w14:textId="77777777" w:rsidR="00480C7F" w:rsidRDefault="00000000" w:rsidP="00A45C6B">
          <w:pPr>
            <w:pStyle w:val="APAReference"/>
          </w:pPr>
          <w:sdt>
            <w:sdtPr>
              <w:tag w:val="R_29c639db-92d4-4505-8f31-df9d3b52a7f7"/>
              <w:id w:val="-1028796390"/>
              <w:lock w:val="contentLocked"/>
              <w:placeholder>
                <w:docPart w:val="0327CDF77D3E42B2A118EA06AF02C433"/>
              </w:placeholder>
            </w:sdtPr>
            <w:sdtContent>
              <w:r w:rsidR="00480C7F">
                <w:t xml:space="preserve">Imani, M., Beikmohammadi, A., &amp; Arabnia, H. (2025). Comprehensive analysis of random forest and xgboost performance with smote, adasyn, and gnus under varying imbalance levels. </w:t>
              </w:r>
              <w:r w:rsidR="00480C7F">
                <w:rPr>
                  <w:rStyle w:val="Emphasis"/>
                </w:rPr>
                <w:t>Technologies</w:t>
              </w:r>
              <w:r w:rsidR="00480C7F">
                <w:t xml:space="preserve">, </w:t>
              </w:r>
              <w:r w:rsidR="00480C7F">
                <w:rPr>
                  <w:rStyle w:val="Emphasis"/>
                </w:rPr>
                <w:t>13</w:t>
              </w:r>
              <w:r w:rsidR="00480C7F">
                <w:t xml:space="preserve">(3), 88. </w:t>
              </w:r>
              <w:hyperlink r:id="rId10" w:history="1">
                <w:r w:rsidR="00480C7F">
                  <w:rPr>
                    <w:rStyle w:val="Hyperlink"/>
                  </w:rPr>
                  <w:t>https://doi.org/10.3390/technologies13030088</w:t>
                </w:r>
              </w:hyperlink>
            </w:sdtContent>
          </w:sdt>
        </w:p>
        <w:p w14:paraId="3EEB86B2" w14:textId="77777777" w:rsidR="00480C7F" w:rsidRDefault="00000000" w:rsidP="00A45C6B">
          <w:pPr>
            <w:pStyle w:val="APAReference"/>
          </w:pPr>
          <w:sdt>
            <w:sdtPr>
              <w:tag w:val="R_7e317e4a-485c-43c6-9a02-15cbd81cbb18"/>
              <w:id w:val="1568150285"/>
              <w:lock w:val="contentLocked"/>
              <w:placeholder>
                <w:docPart w:val="0327CDF77D3E42B2A118EA06AF02C433"/>
              </w:placeholder>
            </w:sdtPr>
            <w:sdtContent>
              <w:r w:rsidR="00480C7F">
                <w:t xml:space="preserve">Kumagai, N., &amp; Jakovljević, M. (2024). Random forest model used to predict the medical out-of-pocket costs of hypertensive patients. </w:t>
              </w:r>
              <w:r w:rsidR="00480C7F">
                <w:rPr>
                  <w:rStyle w:val="Emphasis"/>
                </w:rPr>
                <w:t>Frontiers in Public Health</w:t>
              </w:r>
              <w:r w:rsidR="00480C7F">
                <w:t xml:space="preserve">, </w:t>
              </w:r>
              <w:r w:rsidR="00480C7F">
                <w:rPr>
                  <w:rStyle w:val="Emphasis"/>
                </w:rPr>
                <w:t>12</w:t>
              </w:r>
              <w:r w:rsidR="00480C7F">
                <w:t xml:space="preserve">, 1–8. </w:t>
              </w:r>
              <w:hyperlink r:id="rId11" w:history="1">
                <w:r w:rsidR="00480C7F">
                  <w:rPr>
                    <w:rStyle w:val="Hyperlink"/>
                  </w:rPr>
                  <w:t>https://doi.org/10.3389/fpubh.2024.1382354</w:t>
                </w:r>
              </w:hyperlink>
            </w:sdtContent>
          </w:sdt>
        </w:p>
        <w:p w14:paraId="6C9B2C1C" w14:textId="77777777" w:rsidR="00480C7F" w:rsidRDefault="00000000" w:rsidP="00A45C6B">
          <w:pPr>
            <w:pStyle w:val="APAReference"/>
          </w:pPr>
          <w:sdt>
            <w:sdtPr>
              <w:tag w:val="R_0a3cae42-6ea6-4500-b411-e7776a5201d9"/>
              <w:id w:val="1219553025"/>
              <w:lock w:val="contentLocked"/>
              <w:placeholder>
                <w:docPart w:val="0327CDF77D3E42B2A118EA06AF02C433"/>
              </w:placeholder>
            </w:sdtPr>
            <w:sdtContent>
              <w:r w:rsidR="00480C7F">
                <w:t xml:space="preserve">Meaney, C., Wang, X., Guan, J., &amp; Stukel, T. A. (2025). Comparison of methods for tuning machine learning model hyper-parameters: With application to predicting high-need high-cost health care users. </w:t>
              </w:r>
              <w:r w:rsidR="00480C7F">
                <w:rPr>
                  <w:rStyle w:val="Emphasis"/>
                </w:rPr>
                <w:t>BMC Medical Research Methodology</w:t>
              </w:r>
              <w:r w:rsidR="00480C7F">
                <w:t xml:space="preserve">, </w:t>
              </w:r>
              <w:r w:rsidR="00480C7F">
                <w:rPr>
                  <w:rStyle w:val="Emphasis"/>
                </w:rPr>
                <w:t>25</w:t>
              </w:r>
              <w:r w:rsidR="00480C7F">
                <w:t xml:space="preserve">(1), 1–13. </w:t>
              </w:r>
              <w:hyperlink r:id="rId12" w:history="1">
                <w:r w:rsidR="00480C7F">
                  <w:rPr>
                    <w:rStyle w:val="Hyperlink"/>
                  </w:rPr>
                  <w:t>https://doi.org/10.1186/s12874-025-02561-x</w:t>
                </w:r>
              </w:hyperlink>
            </w:sdtContent>
          </w:sdt>
        </w:p>
        <w:p w14:paraId="17F81906" w14:textId="77777777" w:rsidR="00480C7F" w:rsidRDefault="00000000" w:rsidP="00A45C6B">
          <w:pPr>
            <w:pStyle w:val="APAReference"/>
          </w:pPr>
          <w:sdt>
            <w:sdtPr>
              <w:tag w:val="R_c7961aa4-1841-4570-81eb-1b06898fdba1"/>
              <w:id w:val="-602720451"/>
              <w:lock w:val="contentLocked"/>
              <w:placeholder>
                <w:docPart w:val="0327CDF77D3E42B2A118EA06AF02C433"/>
              </w:placeholder>
            </w:sdtPr>
            <w:sdtContent>
              <w:r w:rsidR="00480C7F">
                <w:t xml:space="preserve">Shaban, W. M., El-Din Moustafa, H., &amp; El-Seddek, M. M. (2025). Machine learning framework for predicting susceptibility to obesity. </w:t>
              </w:r>
              <w:r w:rsidR="00480C7F">
                <w:rPr>
                  <w:rStyle w:val="Emphasis"/>
                </w:rPr>
                <w:t>Scientific Reports</w:t>
              </w:r>
              <w:r w:rsidR="00480C7F">
                <w:t xml:space="preserve">, </w:t>
              </w:r>
              <w:r w:rsidR="00480C7F">
                <w:rPr>
                  <w:rStyle w:val="Emphasis"/>
                </w:rPr>
                <w:t>15</w:t>
              </w:r>
              <w:r w:rsidR="00480C7F">
                <w:t xml:space="preserve">(1), 1–34. </w:t>
              </w:r>
              <w:hyperlink r:id="rId13" w:history="1">
                <w:r w:rsidR="00480C7F">
                  <w:rPr>
                    <w:rStyle w:val="Hyperlink"/>
                  </w:rPr>
                  <w:t>https://doi.org/10.1038/s41598-025-20505-9</w:t>
                </w:r>
              </w:hyperlink>
            </w:sdtContent>
          </w:sdt>
        </w:p>
        <w:sdt>
          <w:sdtPr>
            <w:tag w:val="R_d00a76fb-f09a-462b-8575-c7c665bb0bd3"/>
            <w:id w:val="1399022597"/>
            <w:lock w:val="contentLocked"/>
            <w:placeholder>
              <w:docPart w:val="0327CDF77D3E42B2A118EA06AF02C433"/>
            </w:placeholder>
          </w:sdtPr>
          <w:sdtContent>
            <w:p w14:paraId="23E4AF8E" w14:textId="77777777" w:rsidR="00480C7F" w:rsidRDefault="00480C7F" w:rsidP="00A45C6B">
              <w:pPr>
                <w:pStyle w:val="APAReference"/>
              </w:pPr>
              <w:r>
                <w:t xml:space="preserve">Velarde, G., Weichert, M., Deshmunkh, A., Deshmane, S., Sudhir, A., Sharma, K., &amp; Joshi, V. (2024). Tree boosting methods for balanced and imbalanced classification and their robustness over time in risk assessment. </w:t>
              </w:r>
              <w:r>
                <w:rPr>
                  <w:rStyle w:val="Emphasis"/>
                </w:rPr>
                <w:t>Intelligent Systems with Applications</w:t>
              </w:r>
              <w:r>
                <w:t xml:space="preserve">, </w:t>
              </w:r>
              <w:r>
                <w:rPr>
                  <w:rStyle w:val="Emphasis"/>
                </w:rPr>
                <w:t>22</w:t>
              </w:r>
              <w:r>
                <w:t xml:space="preserve">, 1–9. </w:t>
              </w:r>
              <w:hyperlink r:id="rId14" w:history="1">
                <w:r>
                  <w:rPr>
                    <w:rStyle w:val="Hyperlink"/>
                  </w:rPr>
                  <w:t>https://doi.org/10.1016/j.iswa.2024.200354</w:t>
                </w:r>
              </w:hyperlink>
            </w:p>
          </w:sdtContent>
        </w:sdt>
        <w:p w14:paraId="172FB327" w14:textId="77777777" w:rsidR="00480C7F" w:rsidRPr="002544BB" w:rsidRDefault="00480C7F" w:rsidP="00A45C6B">
          <w:pPr>
            <w:pStyle w:val="APAReference"/>
          </w:pPr>
        </w:p>
        <w:p w14:paraId="1BF8AD78" w14:textId="77777777" w:rsidR="00480C7F" w:rsidRPr="00952C28" w:rsidRDefault="00000000" w:rsidP="00A45C6B">
          <w:pPr>
            <w:pStyle w:val="APA"/>
          </w:pPr>
        </w:p>
      </w:sdtContent>
    </w:sdt>
    <w:p w14:paraId="38AB9CC4" w14:textId="77777777" w:rsidR="00022110" w:rsidRDefault="00000000">
      <w:r>
        <w:br w:type="page"/>
      </w:r>
    </w:p>
    <w:p w14:paraId="2AA9E50B" w14:textId="77777777" w:rsidR="00022110" w:rsidRDefault="00000000">
      <w:pPr>
        <w:spacing w:line="480" w:lineRule="auto"/>
        <w:jc w:val="center"/>
      </w:pPr>
      <w:r>
        <w:rPr>
          <w:b/>
        </w:rPr>
        <w:lastRenderedPageBreak/>
        <w:t>Appendix</w:t>
      </w:r>
    </w:p>
    <w:p w14:paraId="6FABD505" w14:textId="4D31FFE1" w:rsidR="00480C7F" w:rsidRPr="00231532" w:rsidRDefault="00000000" w:rsidP="00E5320D">
      <w:r>
        <w:rPr>
          <w:noProof/>
        </w:rPr>
        <w:drawing>
          <wp:inline distT="0" distB="0" distL="0" distR="0" wp14:anchorId="779DD773" wp14:editId="7D5F5C39">
            <wp:extent cx="5943600" cy="2496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aggle PNG.PNG"/>
                    <pic:cNvPicPr/>
                  </pic:nvPicPr>
                  <pic:blipFill>
                    <a:blip r:embed="rId15"/>
                    <a:stretch>
                      <a:fillRect/>
                    </a:stretch>
                  </pic:blipFill>
                  <pic:spPr>
                    <a:xfrm>
                      <a:off x="0" y="0"/>
                      <a:ext cx="5943600" cy="2496165"/>
                    </a:xfrm>
                    <a:prstGeom prst="rect">
                      <a:avLst/>
                    </a:prstGeom>
                  </pic:spPr>
                </pic:pic>
              </a:graphicData>
            </a:graphic>
          </wp:inline>
        </w:drawing>
      </w:r>
    </w:p>
    <w:p w14:paraId="2E181ABA" w14:textId="77777777" w:rsidR="00480C7F" w:rsidRDefault="00480C7F" w:rsidP="00480C7F">
      <w:pPr>
        <w:spacing w:before="100" w:beforeAutospacing="1" w:after="100" w:afterAutospacing="1" w:line="480" w:lineRule="auto"/>
        <w:jc w:val="center"/>
        <w:rPr>
          <w:rFonts w:eastAsia="Times New Roman"/>
        </w:rPr>
      </w:pPr>
      <w:r w:rsidRPr="00231532">
        <w:rPr>
          <w:rFonts w:eastAsia="Times New Roman"/>
          <w:b/>
          <w:bCs/>
          <w:szCs w:val="24"/>
        </w:rPr>
        <w:t>Figure A0. Kaggle submissions and scores</w:t>
      </w:r>
    </w:p>
    <w:p w14:paraId="6DC6196D" w14:textId="77777777" w:rsidR="00480C7F" w:rsidRPr="00231532" w:rsidRDefault="00480C7F" w:rsidP="00480C7F">
      <w:pPr>
        <w:spacing w:before="100" w:beforeAutospacing="1" w:after="100" w:afterAutospacing="1" w:line="480" w:lineRule="auto"/>
        <w:ind w:firstLine="720"/>
        <w:rPr>
          <w:rFonts w:eastAsia="Times New Roman"/>
          <w:szCs w:val="24"/>
        </w:rPr>
      </w:pPr>
      <w:r w:rsidRPr="00231532">
        <w:rPr>
          <w:rFonts w:eastAsia="Times New Roman"/>
          <w:szCs w:val="24"/>
        </w:rPr>
        <w:t xml:space="preserve">Model1_DecisionTree (0.85585/0.86669), Model2_Bagging (0.89333/0.89306), Model3_RandomForest (0.89721/0.89270), and Model4_Boosting (0.86750/0.86452). The small Private–Public gaps indicate limited </w:t>
      </w:r>
      <w:r>
        <w:rPr>
          <w:rFonts w:eastAsia="Times New Roman"/>
        </w:rPr>
        <w:t>distributional shifts and stable generalization across holdouts</w:t>
      </w:r>
      <w:r w:rsidRPr="00231532">
        <w:rPr>
          <w:rFonts w:eastAsia="Times New Roman"/>
          <w:szCs w:val="24"/>
        </w:rPr>
        <w:t>.</w:t>
      </w:r>
    </w:p>
    <w:p w14:paraId="62C4372E" w14:textId="77777777" w:rsidR="00CC2A6F" w:rsidRPr="00231532" w:rsidRDefault="00CC2A6F" w:rsidP="00CC2A6F">
      <w:pPr>
        <w:spacing w:before="100" w:beforeAutospacing="1" w:after="100" w:afterAutospacing="1" w:line="480" w:lineRule="auto"/>
        <w:jc w:val="center"/>
        <w:outlineLvl w:val="0"/>
        <w:rPr>
          <w:rFonts w:eastAsia="Times New Roman"/>
          <w:b/>
          <w:bCs/>
          <w:kern w:val="36"/>
          <w:szCs w:val="24"/>
        </w:rPr>
      </w:pPr>
      <w:r w:rsidRPr="00384826">
        <w:rPr>
          <w:rFonts w:eastAsia="Times New Roman"/>
          <w:b/>
          <w:bCs/>
          <w:kern w:val="36"/>
        </w:rPr>
        <w:t xml:space="preserve">Kraggle </w:t>
      </w:r>
      <w:r w:rsidRPr="00881E24">
        <w:rPr>
          <w:rFonts w:eastAsia="Times New Roman"/>
          <w:b/>
          <w:bCs/>
          <w:kern w:val="36"/>
        </w:rPr>
        <w:t xml:space="preserve">Evidence </w:t>
      </w:r>
      <w:r w:rsidRPr="00384826">
        <w:rPr>
          <w:rFonts w:eastAsia="Times New Roman"/>
          <w:b/>
          <w:bCs/>
          <w:kern w:val="36"/>
        </w:rPr>
        <w:t xml:space="preserve">&amp; </w:t>
      </w:r>
      <w:proofErr w:type="spellStart"/>
      <w:r w:rsidRPr="00384826">
        <w:rPr>
          <w:rFonts w:eastAsia="Times New Roman"/>
          <w:b/>
          <w:bCs/>
          <w:kern w:val="36"/>
        </w:rPr>
        <w:t>Github</w:t>
      </w:r>
      <w:proofErr w:type="spellEnd"/>
      <w:r w:rsidRPr="00384826">
        <w:rPr>
          <w:rFonts w:eastAsia="Times New Roman"/>
          <w:b/>
          <w:bCs/>
          <w:kern w:val="36"/>
        </w:rPr>
        <w:t xml:space="preserve"> </w:t>
      </w:r>
      <w:r w:rsidRPr="00A45886">
        <w:rPr>
          <w:rFonts w:eastAsia="Times New Roman"/>
          <w:b/>
          <w:bCs/>
          <w:kern w:val="36"/>
        </w:rPr>
        <w:t>URLs</w:t>
      </w:r>
    </w:p>
    <w:p w14:paraId="1C85C70A" w14:textId="77777777" w:rsidR="00CC2A6F" w:rsidRDefault="00CC2A6F" w:rsidP="00CC2A6F">
      <w:pPr>
        <w:spacing w:before="100" w:beforeAutospacing="1" w:after="100" w:afterAutospacing="1" w:line="480" w:lineRule="auto"/>
        <w:rPr>
          <w:rFonts w:eastAsia="Times New Roman"/>
          <w:b/>
          <w:bCs/>
        </w:rPr>
      </w:pPr>
      <w:r w:rsidRPr="00A45886">
        <w:rPr>
          <w:rFonts w:eastAsia="Times New Roman"/>
          <w:b/>
          <w:bCs/>
        </w:rPr>
        <w:t xml:space="preserve">Kraggle Evidence: </w:t>
      </w:r>
      <w:hyperlink r:id="rId16" w:history="1">
        <w:r>
          <w:rPr>
            <w:rStyle w:val="Hyperlink"/>
          </w:rPr>
          <w:t>Multi-Class Prediction of Obesity Risk | Kaggle</w:t>
        </w:r>
      </w:hyperlink>
    </w:p>
    <w:p w14:paraId="5331909D" w14:textId="77777777" w:rsidR="00CC2A6F" w:rsidRPr="00A45886" w:rsidRDefault="00CC2A6F" w:rsidP="00CC2A6F">
      <w:pPr>
        <w:spacing w:before="100" w:beforeAutospacing="1" w:after="100" w:afterAutospacing="1" w:line="480" w:lineRule="auto"/>
        <w:rPr>
          <w:rFonts w:eastAsia="Times New Roman"/>
        </w:rPr>
      </w:pPr>
      <w:r w:rsidRPr="00231532">
        <w:rPr>
          <w:rFonts w:eastAsia="Times New Roman"/>
          <w:b/>
          <w:bCs/>
          <w:szCs w:val="24"/>
        </w:rPr>
        <w:t>Code &amp; artifacts:</w:t>
      </w:r>
      <w:r w:rsidRPr="00231532">
        <w:rPr>
          <w:rFonts w:eastAsia="Times New Roman"/>
          <w:szCs w:val="24"/>
        </w:rPr>
        <w:t xml:space="preserve"> </w:t>
      </w:r>
      <w:hyperlink r:id="rId17" w:history="1">
        <w:r w:rsidRPr="00231532">
          <w:rPr>
            <w:rFonts w:eastAsia="Times New Roman"/>
            <w:color w:val="0000FF"/>
            <w:szCs w:val="24"/>
            <w:u w:val="single"/>
          </w:rPr>
          <w:t>https://github.com/Skeonpr1/dds8555-a6-obesity-risk</w:t>
        </w:r>
      </w:hyperlink>
      <w:r w:rsidRPr="00231532">
        <w:rPr>
          <w:rFonts w:eastAsia="Times New Roman"/>
          <w:szCs w:val="24"/>
        </w:rPr>
        <w:br/>
      </w:r>
    </w:p>
    <w:p w14:paraId="5D878182" w14:textId="1281EA7A" w:rsidR="00022110" w:rsidRDefault="00022110">
      <w:pPr>
        <w:spacing w:line="480" w:lineRule="auto"/>
        <w:jc w:val="center"/>
      </w:pPr>
    </w:p>
    <w:p w14:paraId="32804CD1" w14:textId="77777777" w:rsidR="00022110" w:rsidRDefault="00022110">
      <w:pPr>
        <w:spacing w:line="480" w:lineRule="auto"/>
      </w:pPr>
    </w:p>
    <w:p w14:paraId="7F0FB9AD" w14:textId="77777777" w:rsidR="00022110" w:rsidRDefault="00000000">
      <w:r>
        <w:rPr>
          <w:noProof/>
        </w:rPr>
        <w:lastRenderedPageBreak/>
        <w:drawing>
          <wp:inline distT="0" distB="0" distL="0" distR="0" wp14:anchorId="4E61E3E1" wp14:editId="1C6FFB3E">
            <wp:extent cx="5943600" cy="4160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DecisionTree.png"/>
                    <pic:cNvPicPr/>
                  </pic:nvPicPr>
                  <pic:blipFill>
                    <a:blip r:embed="rId18"/>
                    <a:stretch>
                      <a:fillRect/>
                    </a:stretch>
                  </pic:blipFill>
                  <pic:spPr>
                    <a:xfrm>
                      <a:off x="0" y="0"/>
                      <a:ext cx="5943600" cy="4160520"/>
                    </a:xfrm>
                    <a:prstGeom prst="rect">
                      <a:avLst/>
                    </a:prstGeom>
                  </pic:spPr>
                </pic:pic>
              </a:graphicData>
            </a:graphic>
          </wp:inline>
        </w:drawing>
      </w:r>
    </w:p>
    <w:p w14:paraId="29676B9E" w14:textId="77777777" w:rsidR="00E5320D" w:rsidRDefault="00E5320D" w:rsidP="00E5320D">
      <w:pPr>
        <w:spacing w:before="100" w:beforeAutospacing="1" w:after="100" w:afterAutospacing="1" w:line="480" w:lineRule="auto"/>
        <w:jc w:val="center"/>
        <w:rPr>
          <w:rFonts w:eastAsia="Times New Roman"/>
        </w:rPr>
      </w:pPr>
      <w:r w:rsidRPr="00231532">
        <w:rPr>
          <w:rFonts w:eastAsia="Times New Roman"/>
          <w:b/>
          <w:bCs/>
          <w:szCs w:val="24"/>
        </w:rPr>
        <w:t>Figure A1</w:t>
      </w:r>
      <w:r>
        <w:rPr>
          <w:rFonts w:eastAsia="Times New Roman"/>
          <w:b/>
          <w:bCs/>
        </w:rPr>
        <w:t>—decision-tree</w:t>
      </w:r>
      <w:r w:rsidRPr="00231532">
        <w:rPr>
          <w:rFonts w:eastAsia="Times New Roman"/>
          <w:b/>
          <w:bCs/>
          <w:szCs w:val="24"/>
        </w:rPr>
        <w:t xml:space="preserve"> diagram (baseline interpretability).</w:t>
      </w:r>
    </w:p>
    <w:p w14:paraId="7F9850CE" w14:textId="369F36BB" w:rsidR="00E5320D" w:rsidRPr="00231532" w:rsidRDefault="00E5320D" w:rsidP="00E5320D">
      <w:pPr>
        <w:spacing w:before="100" w:beforeAutospacing="1" w:after="100" w:afterAutospacing="1" w:line="480" w:lineRule="auto"/>
        <w:ind w:firstLine="720"/>
        <w:rPr>
          <w:rFonts w:eastAsia="Times New Roman"/>
          <w:szCs w:val="24"/>
        </w:rPr>
      </w:pPr>
      <w:r w:rsidRPr="00231532">
        <w:rPr>
          <w:rFonts w:eastAsia="Times New Roman"/>
          <w:szCs w:val="24"/>
        </w:rPr>
        <w:t xml:space="preserve">The root split separates high-leverage variables, yielding readable </w:t>
      </w:r>
      <w:r w:rsidRPr="00231532">
        <w:rPr>
          <w:rFonts w:eastAsia="Times New Roman"/>
          <w:b/>
          <w:bCs/>
          <w:szCs w:val="24"/>
        </w:rPr>
        <w:t>if–then</w:t>
      </w:r>
      <w:r w:rsidRPr="00231532">
        <w:rPr>
          <w:rFonts w:eastAsia="Times New Roman"/>
          <w:szCs w:val="24"/>
        </w:rPr>
        <w:t xml:space="preserve"> rules. Tree depth and a </w:t>
      </w:r>
      <w:proofErr w:type="spellStart"/>
      <w:r w:rsidRPr="00231532">
        <w:rPr>
          <w:rFonts w:eastAsia="Times New Roman"/>
          <w:b/>
          <w:bCs/>
          <w:szCs w:val="24"/>
        </w:rPr>
        <w:t>min_samples_leaf</w:t>
      </w:r>
      <w:proofErr w:type="spellEnd"/>
      <w:r w:rsidR="00CC2A6F">
        <w:rPr>
          <w:rFonts w:eastAsia="Times New Roman"/>
          <w:b/>
          <w:bCs/>
          <w:szCs w:val="24"/>
        </w:rPr>
        <w:t xml:space="preserve"> </w:t>
      </w:r>
      <w:r w:rsidR="009D0FC9">
        <w:rPr>
          <w:rFonts w:eastAsia="Times New Roman"/>
          <w:b/>
          <w:bCs/>
          <w:szCs w:val="24"/>
        </w:rPr>
        <w:t>=</w:t>
      </w:r>
      <w:r w:rsidRPr="00231532">
        <w:rPr>
          <w:rFonts w:eastAsia="Times New Roman"/>
          <w:b/>
          <w:bCs/>
          <w:szCs w:val="24"/>
        </w:rPr>
        <w:t>3</w:t>
      </w:r>
      <w:r w:rsidR="00122FAA" w:rsidRPr="00122FAA">
        <w:rPr>
          <w:rFonts w:eastAsia="Times New Roman"/>
          <w:b/>
          <w:bCs/>
          <w:szCs w:val="24"/>
        </w:rPr>
        <w:t>.</w:t>
      </w:r>
      <w:r w:rsidRPr="00231532">
        <w:rPr>
          <w:rFonts w:eastAsia="Times New Roman"/>
          <w:szCs w:val="24"/>
        </w:rPr>
        <w:t xml:space="preserve"> </w:t>
      </w:r>
      <w:r w:rsidR="009D0FC9">
        <w:rPr>
          <w:rFonts w:eastAsia="Times New Roman"/>
          <w:szCs w:val="24"/>
        </w:rPr>
        <w:t xml:space="preserve">The </w:t>
      </w:r>
      <w:r w:rsidRPr="00231532">
        <w:rPr>
          <w:rFonts w:eastAsia="Times New Roman"/>
          <w:szCs w:val="24"/>
        </w:rPr>
        <w:t xml:space="preserve">constraint </w:t>
      </w:r>
      <w:r w:rsidR="00A6777F">
        <w:rPr>
          <w:rFonts w:eastAsia="Times New Roman"/>
          <w:szCs w:val="24"/>
        </w:rPr>
        <w:t>reduces</w:t>
      </w:r>
      <w:r w:rsidRPr="00231532">
        <w:rPr>
          <w:rFonts w:eastAsia="Times New Roman"/>
          <w:szCs w:val="24"/>
        </w:rPr>
        <w:t xml:space="preserve"> variance while preserving clarity for stakeholder communication.</w:t>
      </w:r>
    </w:p>
    <w:p w14:paraId="10141C0E" w14:textId="77777777" w:rsidR="00022110" w:rsidRDefault="00000000">
      <w:r>
        <w:rPr>
          <w:noProof/>
        </w:rPr>
        <w:lastRenderedPageBreak/>
        <w:drawing>
          <wp:inline distT="0" distB="0" distL="0" distR="0" wp14:anchorId="0F063E76" wp14:editId="7D96EC89">
            <wp:extent cx="5943600" cy="4457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RF_Importances.png"/>
                    <pic:cNvPicPr/>
                  </pic:nvPicPr>
                  <pic:blipFill>
                    <a:blip r:embed="rId19"/>
                    <a:stretch>
                      <a:fillRect/>
                    </a:stretch>
                  </pic:blipFill>
                  <pic:spPr>
                    <a:xfrm>
                      <a:off x="0" y="0"/>
                      <a:ext cx="5943600" cy="4457700"/>
                    </a:xfrm>
                    <a:prstGeom prst="rect">
                      <a:avLst/>
                    </a:prstGeom>
                  </pic:spPr>
                </pic:pic>
              </a:graphicData>
            </a:graphic>
          </wp:inline>
        </w:drawing>
      </w:r>
    </w:p>
    <w:p w14:paraId="33386685" w14:textId="77777777" w:rsidR="00E5320D" w:rsidRPr="00881E24" w:rsidRDefault="00E5320D" w:rsidP="00E5320D">
      <w:pPr>
        <w:spacing w:before="100" w:beforeAutospacing="1" w:after="100" w:afterAutospacing="1" w:line="480" w:lineRule="auto"/>
        <w:jc w:val="center"/>
        <w:rPr>
          <w:rFonts w:eastAsia="Times New Roman"/>
          <w:b/>
          <w:bCs/>
        </w:rPr>
      </w:pPr>
      <w:r w:rsidRPr="00231532">
        <w:rPr>
          <w:rFonts w:eastAsia="Times New Roman"/>
          <w:b/>
          <w:bCs/>
          <w:szCs w:val="24"/>
        </w:rPr>
        <w:t>Figure A2. Random-forest feature importances</w:t>
      </w:r>
    </w:p>
    <w:p w14:paraId="15C1D735" w14:textId="77777777" w:rsidR="00E5320D" w:rsidRPr="00231532" w:rsidRDefault="00E5320D" w:rsidP="00E5320D">
      <w:pPr>
        <w:spacing w:before="100" w:beforeAutospacing="1" w:after="100" w:afterAutospacing="1" w:line="480" w:lineRule="auto"/>
        <w:ind w:firstLine="720"/>
        <w:rPr>
          <w:rFonts w:eastAsia="Times New Roman"/>
          <w:szCs w:val="24"/>
        </w:rPr>
      </w:pPr>
      <w:r w:rsidRPr="00231532">
        <w:rPr>
          <w:rFonts w:eastAsia="Times New Roman"/>
          <w:szCs w:val="24"/>
        </w:rPr>
        <w:t xml:space="preserve">Weight, FCVC, Height, and Age dominate split-based gain. </w:t>
      </w:r>
      <w:r>
        <w:rPr>
          <w:rFonts w:eastAsia="Times New Roman"/>
        </w:rPr>
        <w:t>Importance summaries capture predictive contributions</w:t>
      </w:r>
      <w:r w:rsidRPr="00231532">
        <w:rPr>
          <w:rFonts w:eastAsia="Times New Roman"/>
          <w:szCs w:val="24"/>
        </w:rPr>
        <w:t xml:space="preserve"> across trees but do not imply causality; they help prioritize features for engineering and policy explanation.</w:t>
      </w:r>
    </w:p>
    <w:p w14:paraId="7C635373" w14:textId="77777777" w:rsidR="00022110" w:rsidRDefault="00022110">
      <w:pPr>
        <w:spacing w:line="480" w:lineRule="auto"/>
      </w:pPr>
    </w:p>
    <w:p w14:paraId="09855C17" w14:textId="77777777" w:rsidR="00022110" w:rsidRDefault="00000000">
      <w:r>
        <w:rPr>
          <w:noProof/>
        </w:rPr>
        <w:lastRenderedPageBreak/>
        <w:drawing>
          <wp:inline distT="0" distB="0" distL="0" distR="0" wp14:anchorId="21FD4267" wp14:editId="0BE91C00">
            <wp:extent cx="5943600" cy="445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GB_Importances.png"/>
                    <pic:cNvPicPr/>
                  </pic:nvPicPr>
                  <pic:blipFill>
                    <a:blip r:embed="rId20"/>
                    <a:stretch>
                      <a:fillRect/>
                    </a:stretch>
                  </pic:blipFill>
                  <pic:spPr>
                    <a:xfrm>
                      <a:off x="0" y="0"/>
                      <a:ext cx="5943600" cy="4457700"/>
                    </a:xfrm>
                    <a:prstGeom prst="rect">
                      <a:avLst/>
                    </a:prstGeom>
                  </pic:spPr>
                </pic:pic>
              </a:graphicData>
            </a:graphic>
          </wp:inline>
        </w:drawing>
      </w:r>
    </w:p>
    <w:p w14:paraId="02FEB3E3" w14:textId="77777777" w:rsidR="00876932" w:rsidRDefault="00876932" w:rsidP="00876932">
      <w:pPr>
        <w:spacing w:before="100" w:beforeAutospacing="1" w:after="100" w:afterAutospacing="1" w:line="480" w:lineRule="auto"/>
        <w:jc w:val="center"/>
        <w:rPr>
          <w:rFonts w:eastAsia="Times New Roman"/>
        </w:rPr>
      </w:pPr>
      <w:r w:rsidRPr="00231532">
        <w:rPr>
          <w:rFonts w:eastAsia="Times New Roman"/>
          <w:b/>
          <w:bCs/>
          <w:szCs w:val="24"/>
        </w:rPr>
        <w:t>Figure A3. Gradient-boosting importances</w:t>
      </w:r>
    </w:p>
    <w:p w14:paraId="0047AD30" w14:textId="77777777" w:rsidR="00876932" w:rsidRPr="00231532" w:rsidRDefault="00876932" w:rsidP="00876932">
      <w:pPr>
        <w:spacing w:before="100" w:beforeAutospacing="1" w:after="100" w:afterAutospacing="1" w:line="480" w:lineRule="auto"/>
        <w:ind w:firstLine="720"/>
        <w:rPr>
          <w:rFonts w:eastAsia="Times New Roman"/>
          <w:szCs w:val="24"/>
        </w:rPr>
      </w:pPr>
      <w:r w:rsidRPr="00231532">
        <w:rPr>
          <w:rFonts w:eastAsia="Times New Roman"/>
          <w:szCs w:val="24"/>
        </w:rPr>
        <w:t xml:space="preserve">With </w:t>
      </w:r>
      <w:r w:rsidRPr="00231532">
        <w:rPr>
          <w:rFonts w:eastAsia="Times New Roman"/>
          <w:b/>
          <w:bCs/>
          <w:szCs w:val="24"/>
        </w:rPr>
        <w:t>depth-2 trees</w:t>
      </w:r>
      <w:r w:rsidRPr="00231532">
        <w:rPr>
          <w:rFonts w:eastAsia="Times New Roman"/>
          <w:szCs w:val="24"/>
        </w:rPr>
        <w:t xml:space="preserve"> and </w:t>
      </w:r>
      <w:proofErr w:type="spellStart"/>
      <w:r w:rsidRPr="00231532">
        <w:rPr>
          <w:rFonts w:eastAsia="Times New Roman"/>
          <w:b/>
          <w:bCs/>
          <w:szCs w:val="24"/>
        </w:rPr>
        <w:t>learning_rate</w:t>
      </w:r>
      <w:proofErr w:type="spellEnd"/>
      <w:r w:rsidRPr="00231532">
        <w:rPr>
          <w:rFonts w:eastAsia="Times New Roman"/>
          <w:b/>
          <w:bCs/>
          <w:szCs w:val="24"/>
        </w:rPr>
        <w:t>=0.05</w:t>
      </w:r>
      <w:r w:rsidRPr="00231532">
        <w:rPr>
          <w:rFonts w:eastAsia="Times New Roman"/>
          <w:szCs w:val="24"/>
        </w:rPr>
        <w:t xml:space="preserve">, boosting concentrates signal on Weight and Gender, reflecting </w:t>
      </w:r>
      <w:r w:rsidRPr="00231532">
        <w:rPr>
          <w:rFonts w:eastAsia="Times New Roman"/>
          <w:b/>
          <w:bCs/>
          <w:szCs w:val="24"/>
        </w:rPr>
        <w:t>shrinkage-driven</w:t>
      </w:r>
      <w:r w:rsidRPr="00231532">
        <w:rPr>
          <w:rFonts w:eastAsia="Times New Roman"/>
          <w:szCs w:val="24"/>
        </w:rPr>
        <w:t xml:space="preserve"> focus on strong predictors and </w:t>
      </w:r>
      <w:r w:rsidRPr="00231532">
        <w:rPr>
          <w:rFonts w:eastAsia="Times New Roman"/>
          <w:b/>
          <w:bCs/>
          <w:szCs w:val="24"/>
        </w:rPr>
        <w:t>low-order interactions</w:t>
      </w:r>
      <w:r w:rsidRPr="00231532">
        <w:rPr>
          <w:rFonts w:eastAsia="Times New Roman"/>
          <w:szCs w:val="24"/>
        </w:rPr>
        <w:t>.</w:t>
      </w:r>
    </w:p>
    <w:p w14:paraId="52D6D9BD" w14:textId="77777777" w:rsidR="00022110" w:rsidRDefault="00000000">
      <w:r>
        <w:rPr>
          <w:noProof/>
        </w:rPr>
        <w:lastRenderedPageBreak/>
        <w:drawing>
          <wp:inline distT="0" distB="0" distL="0" distR="0" wp14:anchorId="08E3D06B" wp14:editId="26BF56FD">
            <wp:extent cx="5943600" cy="445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RF_ConfusionMatrix.png"/>
                    <pic:cNvPicPr/>
                  </pic:nvPicPr>
                  <pic:blipFill>
                    <a:blip r:embed="rId21"/>
                    <a:stretch>
                      <a:fillRect/>
                    </a:stretch>
                  </pic:blipFill>
                  <pic:spPr>
                    <a:xfrm>
                      <a:off x="0" y="0"/>
                      <a:ext cx="5943600" cy="4457700"/>
                    </a:xfrm>
                    <a:prstGeom prst="rect">
                      <a:avLst/>
                    </a:prstGeom>
                  </pic:spPr>
                </pic:pic>
              </a:graphicData>
            </a:graphic>
          </wp:inline>
        </w:drawing>
      </w:r>
    </w:p>
    <w:p w14:paraId="1A30FDDE" w14:textId="3FC4F341" w:rsidR="00876932" w:rsidRDefault="00876932" w:rsidP="00876932">
      <w:pPr>
        <w:spacing w:before="100" w:beforeAutospacing="1" w:after="100" w:afterAutospacing="1" w:line="480" w:lineRule="auto"/>
        <w:jc w:val="center"/>
        <w:rPr>
          <w:rFonts w:eastAsia="Times New Roman"/>
          <w:b/>
          <w:bCs/>
        </w:rPr>
      </w:pPr>
      <w:r w:rsidRPr="00231532">
        <w:rPr>
          <w:rFonts w:eastAsia="Times New Roman"/>
          <w:b/>
          <w:bCs/>
          <w:szCs w:val="24"/>
        </w:rPr>
        <w:t>Figure A4. Random-forest confusion matrix (</w:t>
      </w:r>
      <w:r w:rsidR="00E80A04" w:rsidRPr="00E80A04">
        <w:rPr>
          <w:rFonts w:eastAsia="Times New Roman"/>
          <w:b/>
          <w:bCs/>
          <w:szCs w:val="24"/>
        </w:rPr>
        <w:t>K</w:t>
      </w:r>
      <w:r w:rsidRPr="00231532">
        <w:rPr>
          <w:rFonts w:eastAsia="Times New Roman"/>
          <w:b/>
          <w:bCs/>
          <w:szCs w:val="24"/>
        </w:rPr>
        <w:t>-fold CV)</w:t>
      </w:r>
    </w:p>
    <w:p w14:paraId="6487F354" w14:textId="77777777" w:rsidR="00876932" w:rsidRPr="00231532" w:rsidRDefault="00876932" w:rsidP="00876932">
      <w:pPr>
        <w:spacing w:before="100" w:beforeAutospacing="1" w:after="100" w:afterAutospacing="1" w:line="480" w:lineRule="auto"/>
        <w:ind w:firstLine="720"/>
        <w:rPr>
          <w:rFonts w:eastAsia="Times New Roman"/>
          <w:szCs w:val="24"/>
        </w:rPr>
      </w:pPr>
      <w:r w:rsidRPr="00231532">
        <w:rPr>
          <w:rFonts w:eastAsia="Times New Roman"/>
          <w:szCs w:val="24"/>
        </w:rPr>
        <w:t xml:space="preserve">Predictions concentrate on the diagonal; residual errors cluster between </w:t>
      </w:r>
      <w:r w:rsidRPr="00231532">
        <w:rPr>
          <w:rFonts w:eastAsia="Times New Roman"/>
          <w:b/>
          <w:bCs/>
          <w:szCs w:val="24"/>
        </w:rPr>
        <w:t>adjacent classes</w:t>
      </w:r>
      <w:r w:rsidRPr="00231532">
        <w:rPr>
          <w:rFonts w:eastAsia="Times New Roman"/>
          <w:szCs w:val="24"/>
        </w:rPr>
        <w:t xml:space="preserve">, indicating ordinal proximity. Remedies include </w:t>
      </w:r>
      <w:r w:rsidRPr="00231532">
        <w:rPr>
          <w:rFonts w:eastAsia="Times New Roman"/>
          <w:b/>
          <w:bCs/>
          <w:szCs w:val="24"/>
        </w:rPr>
        <w:t>probability calibration</w:t>
      </w:r>
      <w:r w:rsidRPr="00231532">
        <w:rPr>
          <w:rFonts w:eastAsia="Times New Roman"/>
          <w:szCs w:val="24"/>
        </w:rPr>
        <w:t xml:space="preserve"> and </w:t>
      </w:r>
      <w:r w:rsidRPr="00231532">
        <w:rPr>
          <w:rFonts w:eastAsia="Times New Roman"/>
          <w:b/>
          <w:bCs/>
          <w:szCs w:val="24"/>
        </w:rPr>
        <w:t>threshold tuning</w:t>
      </w:r>
      <w:r w:rsidRPr="00231532">
        <w:rPr>
          <w:rFonts w:eastAsia="Times New Roman"/>
          <w:szCs w:val="24"/>
        </w:rPr>
        <w:t xml:space="preserve"> to rebalance sensitivity across classes</w:t>
      </w:r>
      <w:r w:rsidRPr="00C564A4">
        <w:rPr>
          <w:rFonts w:eastAsia="Times New Roman"/>
        </w:rPr>
        <w:t xml:space="preserve">. </w:t>
      </w:r>
    </w:p>
    <w:p w14:paraId="2603B75B" w14:textId="77777777" w:rsidR="00022110" w:rsidRDefault="00022110">
      <w:pPr>
        <w:spacing w:line="480" w:lineRule="auto"/>
      </w:pPr>
    </w:p>
    <w:sectPr w:rsidR="00022110" w:rsidSect="00034616">
      <w:foot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F401C" w14:textId="77777777" w:rsidR="00B96AE4" w:rsidRDefault="00B96AE4">
      <w:pPr>
        <w:spacing w:after="0" w:line="240" w:lineRule="auto"/>
      </w:pPr>
      <w:r>
        <w:separator/>
      </w:r>
    </w:p>
  </w:endnote>
  <w:endnote w:type="continuationSeparator" w:id="0">
    <w:p w14:paraId="2FAD5E10" w14:textId="77777777" w:rsidR="00B96AE4" w:rsidRDefault="00B96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C8FA3" w14:textId="77777777" w:rsidR="00022110" w:rsidRDefault="00000000">
    <w:pPr>
      <w:pStyle w:val="Footer"/>
      <w:jc w:val="right"/>
    </w:pPr>
    <w:r>
      <w:fldChar w:fldCharType="begin"/>
    </w:r>
    <w:r>
      <w:instrText>PAGE</w:instrText>
    </w:r>
    <w:r>
      <w:fldChar w:fldCharType="separate"/>
    </w:r>
    <w:r w:rsidR="002853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5905F" w14:textId="77777777" w:rsidR="00B96AE4" w:rsidRDefault="00B96AE4">
      <w:pPr>
        <w:spacing w:after="0" w:line="240" w:lineRule="auto"/>
      </w:pPr>
      <w:r>
        <w:separator/>
      </w:r>
    </w:p>
  </w:footnote>
  <w:footnote w:type="continuationSeparator" w:id="0">
    <w:p w14:paraId="39C4C107" w14:textId="77777777" w:rsidR="00B96AE4" w:rsidRDefault="00B96A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5416327">
    <w:abstractNumId w:val="8"/>
  </w:num>
  <w:num w:numId="2" w16cid:durableId="2070375034">
    <w:abstractNumId w:val="6"/>
  </w:num>
  <w:num w:numId="3" w16cid:durableId="320937629">
    <w:abstractNumId w:val="5"/>
  </w:num>
  <w:num w:numId="4" w16cid:durableId="1856966277">
    <w:abstractNumId w:val="4"/>
  </w:num>
  <w:num w:numId="5" w16cid:durableId="751124283">
    <w:abstractNumId w:val="7"/>
  </w:num>
  <w:num w:numId="6" w16cid:durableId="1088502096">
    <w:abstractNumId w:val="3"/>
  </w:num>
  <w:num w:numId="7" w16cid:durableId="564724277">
    <w:abstractNumId w:val="2"/>
  </w:num>
  <w:num w:numId="8" w16cid:durableId="1620647966">
    <w:abstractNumId w:val="1"/>
  </w:num>
  <w:num w:numId="9" w16cid:durableId="102237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110"/>
    <w:rsid w:val="00034616"/>
    <w:rsid w:val="0006063C"/>
    <w:rsid w:val="00122FAA"/>
    <w:rsid w:val="0015074B"/>
    <w:rsid w:val="002853A5"/>
    <w:rsid w:val="0029639D"/>
    <w:rsid w:val="00326F90"/>
    <w:rsid w:val="004460BA"/>
    <w:rsid w:val="00460CED"/>
    <w:rsid w:val="00472EA4"/>
    <w:rsid w:val="00480C7F"/>
    <w:rsid w:val="005241B4"/>
    <w:rsid w:val="00693DE9"/>
    <w:rsid w:val="00781E7C"/>
    <w:rsid w:val="007B0F71"/>
    <w:rsid w:val="007F39FE"/>
    <w:rsid w:val="0080200A"/>
    <w:rsid w:val="00840CCB"/>
    <w:rsid w:val="00876932"/>
    <w:rsid w:val="008B6647"/>
    <w:rsid w:val="00931F97"/>
    <w:rsid w:val="00957133"/>
    <w:rsid w:val="009D0FC9"/>
    <w:rsid w:val="009E6797"/>
    <w:rsid w:val="00A05303"/>
    <w:rsid w:val="00A6777F"/>
    <w:rsid w:val="00AA1D8D"/>
    <w:rsid w:val="00B47730"/>
    <w:rsid w:val="00B96AE4"/>
    <w:rsid w:val="00C11C71"/>
    <w:rsid w:val="00C31613"/>
    <w:rsid w:val="00CB0664"/>
    <w:rsid w:val="00CC2A6F"/>
    <w:rsid w:val="00D90FB1"/>
    <w:rsid w:val="00E5320D"/>
    <w:rsid w:val="00E53C31"/>
    <w:rsid w:val="00E80273"/>
    <w:rsid w:val="00E80A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BCABE1"/>
  <w14:defaultImageDpi w14:val="300"/>
  <w15:docId w15:val="{80ED0A89-5C87-44ED-B31C-1AAFF3E71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
    <w:name w:val="APA"/>
    <w:basedOn w:val="BodyText"/>
    <w:link w:val="APAChar"/>
    <w:qFormat/>
    <w:rsid w:val="00480C7F"/>
    <w:pPr>
      <w:spacing w:after="0" w:line="480" w:lineRule="auto"/>
      <w:ind w:firstLine="720"/>
    </w:pPr>
    <w:rPr>
      <w:rFonts w:eastAsia="Times New Roman" w:cs="Times New Roman"/>
      <w:szCs w:val="24"/>
    </w:rPr>
  </w:style>
  <w:style w:type="paragraph" w:customStyle="1" w:styleId="APAReference">
    <w:name w:val="APA Reference"/>
    <w:basedOn w:val="APA"/>
    <w:qFormat/>
    <w:rsid w:val="00480C7F"/>
    <w:pPr>
      <w:ind w:left="720" w:hanging="720"/>
    </w:pPr>
  </w:style>
  <w:style w:type="character" w:customStyle="1" w:styleId="APAChar">
    <w:name w:val="APA Char"/>
    <w:basedOn w:val="DefaultParagraphFont"/>
    <w:link w:val="APA"/>
    <w:rsid w:val="00480C7F"/>
    <w:rPr>
      <w:rFonts w:ascii="Times New Roman" w:eastAsia="Times New Roman" w:hAnsi="Times New Roman" w:cs="Times New Roman"/>
      <w:sz w:val="24"/>
      <w:szCs w:val="24"/>
    </w:rPr>
  </w:style>
  <w:style w:type="paragraph" w:customStyle="1" w:styleId="APAReferenceSectionHeading">
    <w:name w:val="APA Reference Section Heading"/>
    <w:basedOn w:val="Normal"/>
    <w:next w:val="APAReference"/>
    <w:rsid w:val="00480C7F"/>
    <w:pPr>
      <w:spacing w:after="0" w:line="480" w:lineRule="auto"/>
      <w:jc w:val="center"/>
      <w:outlineLvl w:val="0"/>
    </w:pPr>
    <w:rPr>
      <w:rFonts w:eastAsia="Times New Roman" w:cs="Times New Roman"/>
      <w:b/>
      <w:szCs w:val="24"/>
    </w:rPr>
  </w:style>
  <w:style w:type="character" w:styleId="Hyperlink">
    <w:name w:val="Hyperlink"/>
    <w:basedOn w:val="DefaultParagraphFont"/>
    <w:uiPriority w:val="99"/>
    <w:semiHidden/>
    <w:unhideWhenUsed/>
    <w:rsid w:val="00480C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71/journal.pcbi.1011985" TargetMode="External"/><Relationship Id="rId13" Type="http://schemas.openxmlformats.org/officeDocument/2006/relationships/hyperlink" Target="https://doi.org/10.1038/s41598-025-20505-9"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doi.org/10.1186/s12874-025-02561-x" TargetMode="External"/><Relationship Id="rId17" Type="http://schemas.openxmlformats.org/officeDocument/2006/relationships/hyperlink" Target="https://github.com/Skeonpr1/dds8555-a6-obesity-risk"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kaggle.com/competitions/playground-series-s4e2/submissions"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89/fpubh.2024.1382354" TargetMode="Externa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https://doi.org/10.3390/technologies13030088"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doi.org/10.3389/fdata.2024.1469981" TargetMode="External"/><Relationship Id="rId14" Type="http://schemas.openxmlformats.org/officeDocument/2006/relationships/hyperlink" Target="https://doi.org/10.1016/j.iswa.2024.200354" TargetMode="External"/><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27CDF77D3E42B2A118EA06AF02C433"/>
        <w:category>
          <w:name w:val="General"/>
          <w:gallery w:val="placeholder"/>
        </w:category>
        <w:types>
          <w:type w:val="bbPlcHdr"/>
        </w:types>
        <w:behaviors>
          <w:behavior w:val="content"/>
        </w:behaviors>
        <w:guid w:val="{A09F3562-4F53-4237-87C4-77D8D27D1315}"/>
      </w:docPartPr>
      <w:docPartBody>
        <w:p w:rsidR="000202FB" w:rsidRDefault="00A37208" w:rsidP="00A37208">
          <w:pPr>
            <w:pStyle w:val="0327CDF77D3E42B2A118EA06AF02C433"/>
          </w:pPr>
          <w:r w:rsidRPr="0026089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208"/>
    <w:rsid w:val="000202FB"/>
    <w:rsid w:val="007A4944"/>
    <w:rsid w:val="007F3C5F"/>
    <w:rsid w:val="00957133"/>
    <w:rsid w:val="00A37208"/>
    <w:rsid w:val="00C11C71"/>
    <w:rsid w:val="00C31613"/>
    <w:rsid w:val="00E46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7208"/>
    <w:rPr>
      <w:color w:val="808080"/>
    </w:rPr>
  </w:style>
  <w:style w:type="paragraph" w:customStyle="1" w:styleId="0327CDF77D3E42B2A118EA06AF02C433">
    <w:name w:val="0327CDF77D3E42B2A118EA06AF02C433"/>
    <w:rsid w:val="00A372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B07130-BEA3-4A3A-ABF4-5A77811D1D63}">
  <we:reference id="wa200000199" version="8.3.0.0" store="en-US" storeType="OMEX"/>
  <we:alternateReferences>
    <we:reference id="wa200000199" version="8.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1241</TotalTime>
  <Pages>13</Pages>
  <Words>1670</Words>
  <Characters>9523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Eliseo Ilarraza</cp:lastModifiedBy>
  <cp:revision>13</cp:revision>
  <dcterms:created xsi:type="dcterms:W3CDTF">2013-12-23T23:15:00Z</dcterms:created>
  <dcterms:modified xsi:type="dcterms:W3CDTF">2025-11-07T20:53:00Z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61698b94-00cc-46b7-aba2-c1028a1b292a</vt:lpwstr>
  </property>
</Properties>
</file>