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149B9F3A" w:rsidR="002E09F1" w:rsidRPr="0050393D" w:rsidRDefault="001D0D08" w:rsidP="00DB2CD6">
      <w:r>
        <w:t>Figure out the changes in the organisms</w:t>
      </w:r>
      <w:r w:rsidR="00A222AC">
        <w:t>,</w:t>
      </w:r>
      <w:r>
        <w:t xml:space="preserve"> as response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ons. The second and not that much 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4B28915E"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7201508C" w:rsidR="00C31204" w:rsidRPr="00C31204" w:rsidRDefault="000106AF" w:rsidP="00C31204">
      <w:r>
        <w:t xml:space="preserve">There are some </w:t>
      </w:r>
      <w:r w:rsidR="005E5789">
        <w:t xml:space="preserve">studies that focuses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rsidRPr="000F1693">
        <w:rPr>
          <w:color w:val="000000" w:themeColor="text1"/>
          <w:highlight w:val="green"/>
        </w:rPr>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r w:rsidR="00642EE2" w:rsidRPr="00BD1F64">
        <w:rPr>
          <w:rFonts w:ascii="Courier New" w:hAnsi="Courier New" w:cs="Courier New"/>
        </w:rPr>
        <w:t>mtry</w:t>
      </w:r>
      <w:r w:rsidR="00642EE2">
        <w:t xml:space="preserve">, </w:t>
      </w:r>
      <w:r w:rsidR="00642EE2" w:rsidRPr="00BD1F64">
        <w:rPr>
          <w:rFonts w:ascii="Courier New" w:hAnsi="Courier New" w:cs="Courier New"/>
        </w:rPr>
        <w:t>ntrees</w:t>
      </w:r>
      <w:r w:rsidR="00642EE2">
        <w:t xml:space="preserve">, and </w:t>
      </w:r>
      <w:r w:rsidR="00642EE2" w:rsidRPr="00BD1F64">
        <w:rPr>
          <w:rFonts w:ascii="Courier New" w:hAnsi="Courier New" w:cs="Courier New"/>
        </w:rPr>
        <w:t>nodesize</w:t>
      </w:r>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rsidRPr="000F1693">
        <w:rPr>
          <w:highlight w:val="green"/>
        </w:rPr>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49B5532"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2176BC">
        <w:t>T</w:t>
      </w:r>
      <w:r w:rsidR="008C4251">
        <w:t>he winning models for mRNA and protein data in the tuning stage</w:t>
      </w:r>
      <w:r w:rsidR="00F82DEC">
        <w:t>, as can be seen SVM with radial kernel is the winner in mRNA data, and SVM with sigmoidal kernel is the winner in protein data</w:t>
      </w:r>
      <w:r w:rsidR="002176BC">
        <w:t xml:space="preserve"> </w:t>
      </w:r>
      <w:r w:rsidR="002176BC" w:rsidRPr="002176BC">
        <w:rPr>
          <w:highlight w:val="green"/>
        </w:rPr>
        <w:t>[Table 1]</w:t>
      </w:r>
      <w:r w:rsidR="00F82DEC">
        <w:t xml:space="preserve">. </w:t>
      </w:r>
      <w:r w:rsidR="00B00B30">
        <w:t xml:space="preserve">The best parameter sets after tuning for mRNA and protein samples are </w:t>
      </w:r>
      <w:r w:rsidR="00865B0E" w:rsidRPr="0076526D">
        <w:rPr>
          <w:highlight w:val="yellow"/>
        </w:rPr>
        <w:t>xx,</w:t>
      </w:r>
      <w:r w:rsidR="00A65D71" w:rsidRPr="0076526D">
        <w:rPr>
          <w:highlight w:val="yellow"/>
        </w:rPr>
        <w:t xml:space="preserve"> yy</w:t>
      </w:r>
      <w:r w:rsidR="00A65D71">
        <w:t xml:space="preserve"> as cost and</w:t>
      </w:r>
      <w:r w:rsidR="00865B0E">
        <w:t xml:space="preserve"> </w:t>
      </w:r>
      <w:r w:rsidR="00865B0E" w:rsidRPr="0076526D">
        <w:rPr>
          <w:highlight w:val="yellow"/>
        </w:rPr>
        <w:t>xx, yy</w:t>
      </w:r>
      <w:r w:rsidR="00865B0E">
        <w:t xml:space="preserve"> as gamma, for radial and sigmoid kernels respectively </w:t>
      </w:r>
      <w:r w:rsidR="0035656A">
        <w:rPr>
          <w:highlight w:val="green"/>
        </w:rPr>
        <w:t>[</w:t>
      </w:r>
      <w:r w:rsidR="00865B0E" w:rsidRPr="0035656A">
        <w:rPr>
          <w:highlight w:val="green"/>
        </w:rPr>
        <w:t>Supplementary fig</w:t>
      </w:r>
      <w:r w:rsidR="0035656A" w:rsidRPr="0035656A">
        <w:rPr>
          <w:highlight w:val="green"/>
        </w:rPr>
        <w:t>ure</w:t>
      </w:r>
      <w:r w:rsidR="0035656A">
        <w:rPr>
          <w:highlight w:val="green"/>
        </w:rPr>
        <w:t xml:space="preserve"> 1-2]</w:t>
      </w:r>
      <w:r w:rsidR="00865B0E">
        <w:t>.</w:t>
      </w:r>
      <w:r w:rsidR="00EA5B16">
        <w:t xml:space="preserve"> </w:t>
      </w:r>
      <w:r w:rsidR="00973014">
        <w:t>T</w:t>
      </w:r>
      <w:r w:rsidR="009279FB">
        <w:t>he</w:t>
      </w:r>
      <w:r w:rsidR="00973014">
        <w:t xml:space="preserve"> results for test set are </w:t>
      </w:r>
      <w:r w:rsidR="009279FB">
        <w:t xml:space="preserve">far from random, </w:t>
      </w:r>
      <w:r w:rsidR="00DE611F">
        <w:t>enable us to predict the 4 components of th</w:t>
      </w:r>
      <w:r w:rsidR="00891DC6">
        <w:t>e sample conditions correctly xx</w:t>
      </w:r>
      <w:r w:rsidR="00DE611F">
        <w:t>%</w:t>
      </w:r>
      <w:r w:rsidR="006F4EDA">
        <w:t xml:space="preserve"> </w:t>
      </w:r>
      <w:r w:rsidR="00DE611F">
        <w:t>of</w:t>
      </w:r>
      <w:r w:rsidR="00891DC6">
        <w:t xml:space="preserve"> the time for mRNA and xx</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973014">
        <w:t>xx</w:t>
      </w:r>
      <w:r w:rsidR="00791D59">
        <w:t xml:space="preserve"> </w:t>
      </w:r>
      <w:r w:rsidR="00692292">
        <w:t xml:space="preserve">and </w:t>
      </w:r>
      <w:r w:rsidR="00973014">
        <w:t xml:space="preserve">xx </w:t>
      </w:r>
      <w:r w:rsidR="00692292">
        <w:t>respectively</w:t>
      </w:r>
      <w:r w:rsidR="0076526D">
        <w:t xml:space="preserve">. </w:t>
      </w:r>
      <w:r w:rsidR="0076526D" w:rsidRPr="003B2667">
        <w:rPr>
          <w:highlight w:val="green"/>
        </w:rPr>
        <w:t>[figure</w:t>
      </w:r>
      <w:r w:rsidR="003B2667">
        <w:rPr>
          <w:highlight w:val="green"/>
        </w:rPr>
        <w:t xml:space="preserve"> </w:t>
      </w:r>
      <w:r w:rsidR="0076526D" w:rsidRPr="003B2667">
        <w:rPr>
          <w:highlight w:val="green"/>
        </w:rPr>
        <w:t>3]</w:t>
      </w:r>
      <w:r w:rsidR="00E27C17" w:rsidRPr="003B2667">
        <w:rPr>
          <w:highlight w:val="green"/>
        </w:rPr>
        <w:t>.</w:t>
      </w:r>
      <w:r w:rsidR="00E27C17">
        <w:t xml:space="preserve">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w:t>
      </w:r>
      <w:r w:rsidR="00B053FD">
        <w:t xml:space="preserve"> </w:t>
      </w:r>
      <w:r w:rsidR="00B053FD" w:rsidRPr="00B053FD">
        <w:rPr>
          <w:highlight w:val="green"/>
        </w:rPr>
        <w:t>[figure 4]</w:t>
      </w:r>
      <w:r w:rsidR="00F253B2" w:rsidRPr="00B053FD">
        <w:rPr>
          <w:highlight w:val="green"/>
        </w:rPr>
        <w:t>.</w:t>
      </w:r>
      <w:r w:rsidR="00F87190">
        <w:t xml:space="preserve"> Although we use macro f1 score and </w:t>
      </w:r>
      <w:r w:rsidR="007C6591">
        <w:t>use class weights in all calculations we can not eliminate the bias for the conditions that have more</w:t>
      </w:r>
      <w:r w:rsidR="00C84D7F">
        <w:t xml:space="preserve"> training data both for mRNA’</w:t>
      </w:r>
      <w:r w:rsidR="00620DC7">
        <w:t>s and for proteins</w:t>
      </w:r>
      <w:r w:rsidR="00C84D7F">
        <w:t xml:space="preserve"> </w:t>
      </w:r>
      <w:r w:rsidR="007C6591" w:rsidRPr="004C34A6">
        <w:rPr>
          <w:highlight w:val="green"/>
        </w:rPr>
        <w:t>[Supplementary figure 3].</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16140E33"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54052D" w:rsidRPr="002176BC">
        <w:rPr>
          <w:highlight w:val="green"/>
        </w:rPr>
        <w:t>[</w:t>
      </w:r>
      <w:r w:rsidR="006E4AF3" w:rsidRPr="002176BC">
        <w:rPr>
          <w:highlight w:val="green"/>
        </w:rPr>
        <w:t>Table 2</w:t>
      </w:r>
      <w:r w:rsidR="00226769" w:rsidRPr="002176BC">
        <w:rPr>
          <w:highlight w:val="green"/>
        </w:rPr>
        <w:t>, Figure</w:t>
      </w:r>
      <w:r w:rsidR="00444E9C" w:rsidRPr="002176BC">
        <w:rPr>
          <w:highlight w:val="green"/>
        </w:rPr>
        <w:t xml:space="preserve"> </w:t>
      </w:r>
      <w:r w:rsidR="00226769" w:rsidRPr="002176BC">
        <w:rPr>
          <w:highlight w:val="green"/>
        </w:rPr>
        <w:t>5</w:t>
      </w:r>
      <w:r w:rsidR="0054052D" w:rsidRPr="002176BC">
        <w:rPr>
          <w:highlight w:val="green"/>
        </w:rPr>
        <w:t>]</w:t>
      </w:r>
      <w:r w:rsidR="00392D22" w:rsidRPr="002176BC">
        <w:rPr>
          <w:highlight w:val="green"/>
        </w:rPr>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w:t>
      </w:r>
      <w:r>
        <w:lastRenderedPageBreak/>
        <w:t>indicates some information about external conditions in mRNA data was lost during translation process.</w:t>
      </w:r>
      <w:r w:rsidR="00156DE9">
        <w:t xml:space="preserve"> The characteristics of</w:t>
      </w:r>
      <w:r w:rsidR="00183052">
        <w:t xml:space="preserve"> confusion matrix for </w:t>
      </w:r>
      <w:r w:rsidR="00C035A6">
        <w:t>mRNA and protein</w:t>
      </w:r>
      <w:r w:rsidR="00183052">
        <w:t xml:space="preserve"> datasets and combined dataset indicates</w:t>
      </w:r>
      <w:r w:rsidR="0054441A">
        <w:t xml:space="preserve"> the pattern of false negatives and false positives do not match with each</w:t>
      </w:r>
      <w:r w:rsidR="00D35E5B">
        <w:t xml:space="preserve"> </w:t>
      </w:r>
      <w:r w:rsidR="0054441A">
        <w:t>other</w:t>
      </w:r>
      <w:r w:rsidR="00145034">
        <w:t xml:space="preserve"> </w:t>
      </w:r>
      <w:r w:rsidR="00145034" w:rsidRPr="002B32CD">
        <w:rPr>
          <w:highlight w:val="green"/>
        </w:rPr>
        <w:t>[Supplementary figure</w:t>
      </w:r>
      <w:r w:rsidR="004C34A6">
        <w:rPr>
          <w:highlight w:val="green"/>
        </w:rPr>
        <w:t xml:space="preserve"> 4-6</w:t>
      </w:r>
      <w:r w:rsidR="00145034" w:rsidRPr="002B32CD">
        <w:rPr>
          <w:highlight w:val="green"/>
        </w:rPr>
        <w:t>]</w:t>
      </w:r>
      <w:r w:rsidR="0054441A" w:rsidRPr="002B32CD">
        <w:rPr>
          <w:highlight w:val="green"/>
        </w:rPr>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ED895CB"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w:t>
      </w:r>
      <w:r w:rsidR="00B63DDF">
        <w:t xml:space="preserve">f external conditions </w:t>
      </w:r>
      <w:r w:rsidR="00B63DDF" w:rsidRPr="00A222E9">
        <w:rPr>
          <w:highlight w:val="green"/>
        </w:rPr>
        <w:t>[Figure 6]</w:t>
      </w:r>
      <w:r w:rsidRPr="00A222E9">
        <w:rPr>
          <w:highlight w:val="green"/>
        </w:rPr>
        <w:t>.</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4D41672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6B3EF2">
        <w:t xml:space="preserve"> [</w:t>
      </w:r>
      <w:r w:rsidR="007E2FBF" w:rsidRPr="006B3EF2">
        <w:rPr>
          <w:highlight w:val="green"/>
        </w:rPr>
        <w:t>Figu</w:t>
      </w:r>
      <w:r w:rsidR="00194BE0" w:rsidRPr="006B3EF2">
        <w:rPr>
          <w:highlight w:val="green"/>
        </w:rPr>
        <w:t>re 7</w:t>
      </w:r>
      <w:r w:rsidR="00194BE0">
        <w:t xml:space="preserve"> and </w:t>
      </w:r>
      <w:r w:rsidR="00194BE0" w:rsidRPr="00194BE0">
        <w:rPr>
          <w:highlight w:val="green"/>
        </w:rPr>
        <w:t>S</w:t>
      </w:r>
      <w:r w:rsidR="00CB3A7E">
        <w:rPr>
          <w:highlight w:val="green"/>
        </w:rPr>
        <w:t>upplementary figure 7</w:t>
      </w:r>
      <w:r w:rsidR="006B3EF2">
        <w:t>]</w:t>
      </w:r>
      <w:r>
        <w:t>. These results are consistent with the “</w:t>
      </w:r>
      <w:r w:rsidRPr="002A0F58">
        <w:t>Clustering of mRNA and protein abundances by different growth conditions</w:t>
      </w:r>
      <w:r>
        <w:t>” table gener</w:t>
      </w:r>
      <w:r w:rsidR="00465854">
        <w:t>ated for the same dataset</w:t>
      </w:r>
      <w:r w:rsidR="00465854">
        <w:fldChar w:fldCharType="begin"/>
      </w:r>
      <w:r w:rsidR="00465854">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294B68">
        <w:t xml:space="preserve">. </w:t>
      </w:r>
      <w:r w:rsidR="00BE66C6">
        <w:t xml:space="preserve">In order to compare the results of mRNA and protein data we run the same analysis only on intersection datasets. The results indicate </w:t>
      </w:r>
      <w:r w:rsidR="00502242">
        <w:t>mRNAs are the best predictors of growth phase, and proteins are the best predictors for the carbon source and Mg+2 levels. For Na+1 levels combined data is the best predictor.</w:t>
      </w:r>
      <w:r w:rsidR="002901DF">
        <w:t xml:space="preserve"> </w:t>
      </w:r>
      <w:r w:rsidR="0008798A">
        <w:t>[</w:t>
      </w:r>
      <w:r w:rsidR="00767E78" w:rsidRPr="00767E78">
        <w:rPr>
          <w:highlight w:val="green"/>
        </w:rPr>
        <w:t>Supplementary figure 8</w:t>
      </w:r>
      <w:r w:rsidR="0008798A">
        <w:t xml:space="preserve">] </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3A8C06A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F52F8E">
        <w:t>xx</w:t>
      </w:r>
      <w:r w:rsidR="00DF5D4D">
        <w:t xml:space="preserve"> percent of the time</w:t>
      </w:r>
      <w:r w:rsidR="00767B01">
        <w:t xml:space="preserve"> when we try multi 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DF5D4D">
        <w:t xml:space="preserve"> which includes </w:t>
      </w:r>
      <w:r w:rsidR="00465854">
        <w:t>paired</w:t>
      </w:r>
      <w:r w:rsidR="00DF5D4D">
        <w:t xml:space="preserve">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r w:rsidR="00784B7B" w:rsidRPr="00784B7B">
        <w:rPr>
          <w:i/>
        </w:rPr>
        <w:t>E.coli</w:t>
      </w:r>
      <w:r w:rsidR="00784B7B">
        <w:t xml:space="preserve"> strongly responses to external conditions in a measureable and consistent way</w:t>
      </w:r>
      <w:r w:rsidR="009D4A9A">
        <w:t>.</w:t>
      </w:r>
    </w:p>
    <w:p w14:paraId="4936B55A" w14:textId="77777777" w:rsidR="009D4A9A" w:rsidRDefault="009D4A9A" w:rsidP="004F79A2"/>
    <w:p w14:paraId="1A6D61FD" w14:textId="2B4A65E2" w:rsidR="00892214" w:rsidRPr="00B32A5F" w:rsidRDefault="007C37D2" w:rsidP="004F79A2">
      <w:pPr>
        <w:rPr>
          <w:color w:val="E36C0A" w:themeColor="accent6" w:themeShade="BF"/>
        </w:rPr>
      </w:pPr>
      <w:r>
        <w:rPr>
          <w:color w:val="E36C0A" w:themeColor="accent6" w:themeShade="BF"/>
        </w:rPr>
        <w:t xml:space="preserve">Results suggest that protein concentrations include more information than mRNA concentrations and combined data includes more information than proteins after </w:t>
      </w:r>
      <w:r w:rsidR="003A536C">
        <w:rPr>
          <w:color w:val="E36C0A" w:themeColor="accent6" w:themeShade="BF"/>
        </w:rPr>
        <w:t>the data is filtered to keep paired mRNA and protein samples</w:t>
      </w:r>
      <w:r>
        <w:rPr>
          <w:color w:val="E36C0A" w:themeColor="accent6" w:themeShade="BF"/>
        </w:rPr>
        <w:t xml:space="preserve">. </w:t>
      </w:r>
      <w:r w:rsidR="009D4A9A" w:rsidRPr="00563529">
        <w:rPr>
          <w:color w:val="E36C0A" w:themeColor="accent6" w:themeShade="BF"/>
        </w:rPr>
        <w:t xml:space="preserve">If we equate the number of samples protein </w:t>
      </w:r>
      <w:r w:rsidR="009D4A9A" w:rsidRPr="00563529">
        <w:rPr>
          <w:color w:val="E36C0A" w:themeColor="accent6" w:themeShade="BF"/>
        </w:rPr>
        <w:lastRenderedPageBreak/>
        <w:t>data includes more information that mRNA data; but mRNA data still have some information about external conditions that protein data do not have</w:t>
      </w:r>
      <w:r w:rsidR="00A06AD2">
        <w:rPr>
          <w:color w:val="E36C0A" w:themeColor="accent6" w:themeShade="BF"/>
        </w:rPr>
        <w:t>,</w:t>
      </w:r>
      <w:r w:rsidR="009D4A9A" w:rsidRPr="00563529">
        <w:rPr>
          <w:color w:val="E36C0A" w:themeColor="accent6" w:themeShade="BF"/>
        </w:rPr>
        <w:t xml:space="preserve"> so that the combined dataset can make stronger predictions than both from mRNA and protein data alone</w:t>
      </w:r>
      <w:r>
        <w:rPr>
          <w:color w:val="E36C0A" w:themeColor="accent6" w:themeShade="BF"/>
        </w:rPr>
        <w:t xml:space="preserve">. </w:t>
      </w:r>
      <w:r w:rsidR="00A06AD2">
        <w:rPr>
          <w:color w:val="E36C0A" w:themeColor="accent6" w:themeShade="BF"/>
        </w:rPr>
        <w:t xml:space="preserve">This difference indicates the post translational regulation is controlled from external conditions up to a degree. </w:t>
      </w:r>
      <w:r>
        <w:rPr>
          <w:color w:val="E36C0A" w:themeColor="accent6" w:themeShade="BF"/>
        </w:rPr>
        <w:t>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r w:rsidR="00892214">
        <w:rPr>
          <w:color w:val="E36C0A" w:themeColor="accent6" w:themeShade="BF"/>
        </w:rPr>
        <w:t xml:space="preserve">Post transcriptional regulation that triggered by an external stimulus that aims to arrange cells response time to external </w:t>
      </w:r>
      <w:r w:rsidR="00B32A5F">
        <w:rPr>
          <w:color w:val="E36C0A" w:themeColor="accent6" w:themeShade="BF"/>
        </w:rPr>
        <w:t xml:space="preserve">stimuli </w:t>
      </w:r>
      <w:r w:rsidR="007A7EFF">
        <w:rPr>
          <w:color w:val="E36C0A" w:themeColor="accent6" w:themeShade="BF"/>
        </w:rPr>
        <w:t xml:space="preserve">might be bases on </w:t>
      </w:r>
      <w:r w:rsidR="007A7EFF" w:rsidRPr="009F3420">
        <w:rPr>
          <w:color w:val="E36C0A" w:themeColor="accent6" w:themeShade="BF"/>
        </w:rPr>
        <w:t>post-translational phosphorylation</w:t>
      </w:r>
      <w:r w:rsidR="001F75FB">
        <w:rPr>
          <w:color w:val="E36C0A" w:themeColor="accent6" w:themeShade="BF"/>
        </w:rPr>
        <w:fldChar w:fldCharType="begin"/>
      </w:r>
      <w:r w:rsidR="001F75FB">
        <w:rPr>
          <w:color w:val="E36C0A" w:themeColor="accent6" w:themeShade="B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Pr>
          <w:color w:val="E36C0A" w:themeColor="accent6" w:themeShade="BF"/>
        </w:rPr>
        <w:fldChar w:fldCharType="separate"/>
      </w:r>
      <w:r w:rsidR="001F75FB" w:rsidRPr="001F75FB">
        <w:rPr>
          <w:rFonts w:ascii="Calibri" w:eastAsia="Times New Roman" w:cs="Times New Roman"/>
          <w:color w:val="FF0000"/>
          <w:vertAlign w:val="superscript"/>
        </w:rPr>
        <w:t>17</w:t>
      </w:r>
      <w:r w:rsidR="001F75FB">
        <w:rPr>
          <w:color w:val="E36C0A" w:themeColor="accent6" w:themeShade="BF"/>
        </w:rPr>
        <w:fldChar w:fldCharType="end"/>
      </w:r>
      <w:r w:rsidR="007A7EFF">
        <w:rPr>
          <w:color w:val="E36C0A" w:themeColor="accent6" w:themeShade="BF"/>
        </w:rPr>
        <w:t>, or might be associated with stress</w:t>
      </w:r>
      <w:r w:rsidR="00DC09A7">
        <w:rPr>
          <w:color w:val="E36C0A" w:themeColor="accent6" w:themeShade="BF"/>
        </w:rPr>
        <w:t xml:space="preserve"> coping mechanisms</w:t>
      </w:r>
      <w:r w:rsidR="00DC09A7">
        <w:rPr>
          <w:color w:val="E36C0A" w:themeColor="accent6" w:themeShade="BF"/>
        </w:rPr>
        <w:fldChar w:fldCharType="begin"/>
      </w:r>
      <w:r w:rsidR="00DC09A7">
        <w:rPr>
          <w:color w:val="E36C0A" w:themeColor="accent6" w:themeShade="B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Pr>
          <w:color w:val="E36C0A" w:themeColor="accent6" w:themeShade="BF"/>
        </w:rPr>
        <w:fldChar w:fldCharType="separate"/>
      </w:r>
      <w:r w:rsidR="00DC09A7" w:rsidRPr="00DC09A7">
        <w:rPr>
          <w:rFonts w:ascii="Calibri" w:eastAsia="Times New Roman" w:cs="Times New Roman"/>
          <w:color w:val="FF0000"/>
          <w:vertAlign w:val="superscript"/>
        </w:rPr>
        <w:t>18</w:t>
      </w:r>
      <w:r w:rsidR="00DC09A7">
        <w:rPr>
          <w:color w:val="E36C0A" w:themeColor="accent6" w:themeShade="BF"/>
        </w:rPr>
        <w:fldChar w:fldCharType="end"/>
      </w:r>
      <w:r w:rsidR="00B32A5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22683415"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w:t>
      </w:r>
      <w:r w:rsidR="00EA7172">
        <w:rPr>
          <w:color w:val="E36C0A" w:themeColor="accent6" w:themeShade="BF"/>
        </w:rPr>
        <w:t xml:space="preserve"> from one external condition to another</w:t>
      </w:r>
      <w:r w:rsidR="00C318C0">
        <w:rPr>
          <w:color w:val="E36C0A" w:themeColor="accent6" w:themeShade="BF"/>
        </w:rPr>
        <w:t>, this behavior is independent from</w:t>
      </w:r>
      <w:r w:rsidRPr="00563529">
        <w:rPr>
          <w:color w:val="E36C0A" w:themeColor="accent6" w:themeShade="BF"/>
        </w:rPr>
        <w:t xml:space="preserve"> external conditions</w:t>
      </w:r>
      <w:r w:rsidR="00085C62">
        <w:rPr>
          <w:color w:val="E36C0A" w:themeColor="accent6" w:themeShade="BF"/>
        </w:rPr>
        <w:t xml:space="preserve"> or the machine learning algorithms used</w:t>
      </w:r>
      <w:r w:rsidRPr="00563529">
        <w:rPr>
          <w:color w:val="E36C0A" w:themeColor="accent6" w:themeShade="BF"/>
        </w:rPr>
        <w:t>.</w:t>
      </w:r>
      <w:r w:rsidR="00E00A86" w:rsidRPr="00563529">
        <w:rPr>
          <w:color w:val="E36C0A" w:themeColor="accent6" w:themeShade="BF"/>
        </w:rPr>
        <w:t xml:space="preserve"> </w:t>
      </w:r>
      <w:r w:rsidR="00C279FA">
        <w:rPr>
          <w:color w:val="E36C0A" w:themeColor="accent6" w:themeShade="BF"/>
        </w:rPr>
        <w:t xml:space="preserve">One reason of this behavior might be </w:t>
      </w:r>
      <w:r w:rsidR="002B5BAA">
        <w:rPr>
          <w:color w:val="E36C0A" w:themeColor="accent6" w:themeShade="BF"/>
        </w:rPr>
        <w:t xml:space="preserve">associated with </w:t>
      </w:r>
      <w:r w:rsidR="002442D7">
        <w:rPr>
          <w:color w:val="E36C0A" w:themeColor="accent6" w:themeShade="BF"/>
        </w:rPr>
        <w:t>endogenous metabolis</w:t>
      </w:r>
      <w:r w:rsidR="00C279FA">
        <w:rPr>
          <w:color w:val="E36C0A" w:themeColor="accent6" w:themeShade="BF"/>
        </w:rPr>
        <w:t xml:space="preserve">; </w:t>
      </w:r>
      <w:r w:rsidR="002442D7">
        <w:rPr>
          <w:color w:val="E36C0A" w:themeColor="accent6" w:themeShade="BF"/>
        </w:rPr>
        <w:t xml:space="preserve">in which, </w:t>
      </w:r>
      <w:r w:rsidR="00C279FA" w:rsidRPr="00C279FA">
        <w:rPr>
          <w:color w:val="E36C0A" w:themeColor="accent6" w:themeShade="BF"/>
        </w:rPr>
        <w:t xml:space="preserve">stationary phase cells </w:t>
      </w:r>
      <w:r w:rsidR="002B5BAA">
        <w:rPr>
          <w:color w:val="E36C0A" w:themeColor="accent6" w:themeShade="BF"/>
        </w:rPr>
        <w:t>start to use</w:t>
      </w:r>
      <w:r w:rsidR="00C279FA" w:rsidRPr="00C279FA">
        <w:rPr>
          <w:color w:val="E36C0A" w:themeColor="accent6" w:themeShade="BF"/>
        </w:rPr>
        <w:t xml:space="preserve"> the </w:t>
      </w:r>
      <w:r w:rsidR="002B5BAA">
        <w:rPr>
          <w:color w:val="E36C0A" w:themeColor="accent6" w:themeShade="BF"/>
        </w:rPr>
        <w:t>residue</w:t>
      </w:r>
      <w:r w:rsidR="00C279FA" w:rsidRPr="00C279FA">
        <w:rPr>
          <w:color w:val="E36C0A" w:themeColor="accent6" w:themeShade="BF"/>
        </w:rPr>
        <w:t xml:space="preserve"> of other cells instead of provided carbon source</w:t>
      </w:r>
      <w:r w:rsidR="00140F60">
        <w:rPr>
          <w:color w:val="E36C0A" w:themeColor="accent6" w:themeShade="BF"/>
        </w:rPr>
        <w:t>. This new carbon source,</w:t>
      </w:r>
      <w:r w:rsidR="002B5BAA">
        <w:rPr>
          <w:color w:val="E36C0A" w:themeColor="accent6" w:themeShade="BF"/>
        </w:rPr>
        <w:t xml:space="preserve"> </w:t>
      </w:r>
      <w:r w:rsidR="00140F60">
        <w:rPr>
          <w:color w:val="E36C0A" w:themeColor="accent6" w:themeShade="BF"/>
        </w:rPr>
        <w:t xml:space="preserve">which is independent from the provided carbon source, </w:t>
      </w:r>
      <w:r w:rsidR="00433EF0">
        <w:rPr>
          <w:color w:val="E36C0A" w:themeColor="accent6" w:themeShade="BF"/>
        </w:rPr>
        <w:t>suppress</w:t>
      </w:r>
      <w:r w:rsidR="00140F60">
        <w:rPr>
          <w:color w:val="E36C0A" w:themeColor="accent6" w:themeShade="BF"/>
        </w:rPr>
        <w:t xml:space="preserve"> the differences between the cells in different external c</w:t>
      </w:r>
      <w:r w:rsidR="00433EF0">
        <w:rPr>
          <w:color w:val="E36C0A" w:themeColor="accent6" w:themeShade="BF"/>
        </w:rPr>
        <w:t>arbon source environments</w:t>
      </w:r>
      <w:r w:rsidR="00242248">
        <w:rPr>
          <w:color w:val="E36C0A" w:themeColor="accent6" w:themeShade="BF"/>
        </w:rPr>
        <w:fldChar w:fldCharType="begin"/>
      </w:r>
      <w:r w:rsidR="007D760A">
        <w:rPr>
          <w:color w:val="E36C0A" w:themeColor="accent6" w:themeShade="B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Pr>
          <w:color w:val="E36C0A" w:themeColor="accent6" w:themeShade="BF"/>
        </w:rPr>
        <w:fldChar w:fldCharType="separate"/>
      </w:r>
      <w:r w:rsidR="007D760A" w:rsidRPr="007D760A">
        <w:rPr>
          <w:rFonts w:ascii="Calibri" w:eastAsia="Times New Roman" w:cs="Times New Roman"/>
          <w:color w:val="FF0000"/>
          <w:vertAlign w:val="superscript"/>
        </w:rPr>
        <w:t>19,20</w:t>
      </w:r>
      <w:r w:rsidR="00242248">
        <w:rPr>
          <w:color w:val="E36C0A" w:themeColor="accent6" w:themeShade="BF"/>
        </w:rPr>
        <w:fldChar w:fldCharType="end"/>
      </w:r>
      <w:r w:rsidR="00140F60">
        <w:rPr>
          <w:color w:val="E36C0A" w:themeColor="accent6" w:themeShade="BF"/>
        </w:rPr>
        <w:t>.</w:t>
      </w:r>
      <w:r w:rsidR="00A50EEB">
        <w:rPr>
          <w:color w:val="E36C0A" w:themeColor="accent6" w:themeShade="BF"/>
        </w:rPr>
        <w:t xml:space="preserve"> Another reason for this behavior might be related with strong coupling between gene expression noise and growth rate; </w:t>
      </w:r>
      <w:r w:rsidR="00663D81">
        <w:rPr>
          <w:color w:val="E36C0A" w:themeColor="accent6" w:themeShade="BF"/>
        </w:rPr>
        <w:t xml:space="preserve">higher gene expression noise in lower growth rate </w:t>
      </w:r>
      <w:r w:rsidR="0084493A">
        <w:rPr>
          <w:color w:val="E36C0A" w:themeColor="accent6" w:themeShade="BF"/>
        </w:rPr>
        <w:t xml:space="preserve">was reported </w:t>
      </w:r>
      <w:r w:rsidR="00663D81">
        <w:rPr>
          <w:color w:val="E36C0A" w:themeColor="accent6" w:themeShade="BF"/>
        </w:rPr>
        <w:t>in multiple studies</w:t>
      </w:r>
      <w:r w:rsidR="00955C39">
        <w:rPr>
          <w:color w:val="E36C0A" w:themeColor="accent6" w:themeShade="BF"/>
        </w:rPr>
        <w:t xml:space="preserve"> focused on both mRNA and protein concentrations in bacteria in general and E. coli specifically </w:t>
      </w:r>
      <w:r w:rsidR="0084493A">
        <w:rPr>
          <w:color w:val="E36C0A" w:themeColor="accent6" w:themeShade="BF"/>
        </w:rPr>
        <w:fldChar w:fldCharType="begin"/>
      </w:r>
      <w:r w:rsidR="00A701D7">
        <w:rPr>
          <w:color w:val="E36C0A" w:themeColor="accent6" w:themeShade="BF"/>
        </w:rPr>
        <w:instrText xml:space="preserve"> ADDIN ZOTERO_ITEM CSL_CITATION {"citationID":"CcXIpBed","properties":{"formattedCitation":"{\\rtf \\super 21\\uc0\\u8211{}26\\nosupersub{}}","plainCitation":"21–26"},"citationItems":[{"id":432,"uris":["http://zotero.org/users/local/FOPKHRFW/items/QCCAZHX9"],"uri":["http://zotero.org/users/local/FOPKHRFW/items/QCCAZHX9"],"itemData":{"id":432,"type":"article-journal","title":"Noise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A701D7">
        <w:rPr>
          <w:rFonts w:ascii="MS Mincho" w:eastAsia="MS Mincho" w:hAnsi="MS Mincho" w:cs="MS Mincho"/>
          <w:color w:val="E36C0A" w:themeColor="accent6" w:themeShade="BF"/>
        </w:rPr>
        <w:instrText>∼</w:instrText>
      </w:r>
      <w:r w:rsidR="00A701D7">
        <w:rPr>
          <w:color w:val="E36C0A" w:themeColor="accent6" w:themeShade="BF"/>
        </w:rPr>
        <w:instrText xml:space="preserve">900 S. cerevisiae and </w:instrText>
      </w:r>
      <w:r w:rsidR="00A701D7">
        <w:rPr>
          <w:rFonts w:ascii="MS Mincho" w:eastAsia="MS Mincho" w:hAnsi="MS Mincho" w:cs="MS Mincho"/>
          <w:color w:val="E36C0A" w:themeColor="accent6" w:themeShade="BF"/>
        </w:rPr>
        <w:instrText>∼</w:instrText>
      </w:r>
      <w:r w:rsidR="00A701D7">
        <w:rPr>
          <w:color w:val="E36C0A" w:themeColor="accent6" w:themeShade="B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w:instrText>
      </w:r>
      <w:r w:rsidR="00A701D7">
        <w:rPr>
          <w:rFonts w:hint="eastAsia"/>
          <w:color w:val="E36C0A" w:themeColor="accent6" w:themeShade="BF"/>
        </w:rPr>
        <w:instrText>ganized into few functionally related groups that also adhere to scale lines and preserve their relative activities across conditions. Thus, only several scaling factors suffice to accurately describe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 We present a parameter</w:instrText>
      </w:r>
      <w:r w:rsidR="00A701D7">
        <w:rPr>
          <w:rFonts w:hint="eastAsia"/>
          <w:color w:val="E36C0A" w:themeColor="accent6" w:themeShade="BF"/>
        </w:rPr>
        <w:instrText>‐</w:instrText>
      </w:r>
      <w:r w:rsidR="00A701D7">
        <w:rPr>
          <w:rFonts w:hint="eastAsia"/>
          <w:color w:val="E36C0A" w:themeColor="accent6" w:themeShade="BF"/>
        </w:rPr>
        <w:instrText>free passive resource allocation model that quantitatively accounts for the global scaling factors. It suggests that many changes in expression across conditions result from global effects and not specific regulation, and provides mean</w:instrText>
      </w:r>
      <w:r w:rsidR="00A701D7">
        <w:rPr>
          <w:color w:val="E36C0A" w:themeColor="accent6" w:themeShade="BF"/>
        </w:rPr>
        <w:instrText>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depends only on the conditions and not on the promoter's identity.The value of the global scaling factor between any two conditions corresponds to the change in growth rate and magn</w:instrText>
      </w:r>
      <w:r w:rsidR="00A701D7">
        <w:rPr>
          <w:rFonts w:hint="eastAsia"/>
          <w:color w:val="E36C0A" w:themeColor="accent6" w:themeShade="BF"/>
        </w:rPr>
        <w:instrText>itude of the condition</w:instrText>
      </w:r>
      <w:r w:rsidR="00A701D7">
        <w:rPr>
          <w:rFonts w:hint="eastAsia"/>
          <w:color w:val="E36C0A" w:themeColor="accent6" w:themeShade="BF"/>
        </w:rPr>
        <w:instrText>‐</w:instrText>
      </w:r>
      <w:r w:rsidR="00A701D7">
        <w:rPr>
          <w:rFonts w:hint="eastAsia"/>
          <w:color w:val="E36C0A" w:themeColor="accent6" w:themeShade="BF"/>
        </w:rPr>
        <w:instrText>specific response.When specific groups of genes are activated, they also tend to change according to scaling factors, changing the degree to which the entire group is activated, while preserving the ratios between genes within the group.Altogether, a handful of scaling factors are sufficient for quantitatively describing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conditions.","DOI":"10.1038/msb.2013.59","ISSN":"1744-4292, 1744-4292","note":"PMID: 24169404","language":"en","author":[{"family":"Keren","given":"Leeat"},{"family":"Zackay","given":"Ora"},{"family":"Lotan</w:instrText>
      </w:r>
      <w:r w:rsidR="00A701D7">
        <w:rPr>
          <w:rFonts w:hint="eastAsia"/>
          <w:color w:val="E36C0A" w:themeColor="accent6" w:themeShade="BF"/>
        </w:rPr>
        <w:instrText>‐</w:instrText>
      </w:r>
      <w:r w:rsidR="00A701D7">
        <w:rPr>
          <w:rFonts w:hint="eastAsia"/>
          <w:color w:val="E36C0A" w:themeColor="accent6" w:themeShade="BF"/>
        </w:rPr>
        <w:instrText>Pompan","given":"Maya"},{"family":"Barenholz","given":"Uri"},{"family":"Dekel","given":"Erez"},{"family":"Sasson","given":"Vered"},{"family":"Aidelberg","given":"Guy"},{"fam</w:instrText>
      </w:r>
      <w:r w:rsidR="00A701D7">
        <w:rPr>
          <w:color w:val="E36C0A" w:themeColor="accent6" w:themeShade="BF"/>
        </w:rPr>
        <w:instrText xml:space="preserve">ily":"Bren","given":"Anat"},{"family":"Zeevi","given":"Danny"},{"family":"Weinberger","given":"Adina"},{"family":"Alon","given":"Uri"},{"family":"Milo","given":"Ron"},{"family":"Segal","given":"Eran"}],"issued":{"date-parts":[["2013",1,1]]}},"label":"page"},{"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schema":"https://github.com/citation-style-language/schema/raw/master/csl-citation.json"} </w:instrText>
      </w:r>
      <w:r w:rsidR="0084493A">
        <w:rPr>
          <w:color w:val="E36C0A" w:themeColor="accent6" w:themeShade="BF"/>
        </w:rPr>
        <w:fldChar w:fldCharType="separate"/>
      </w:r>
      <w:r w:rsidR="00A701D7" w:rsidRPr="00A701D7">
        <w:rPr>
          <w:rFonts w:ascii="Calibri" w:eastAsia="Times New Roman" w:cs="Times New Roman"/>
          <w:color w:val="FF0000"/>
          <w:vertAlign w:val="superscript"/>
        </w:rPr>
        <w:t>21–26</w:t>
      </w:r>
      <w:r w:rsidR="0084493A">
        <w:rPr>
          <w:color w:val="E36C0A" w:themeColor="accent6" w:themeShade="BF"/>
        </w:rPr>
        <w:fldChar w:fldCharType="end"/>
      </w:r>
      <w:r w:rsidR="0084493A">
        <w:rPr>
          <w:color w:val="E36C0A" w:themeColor="accent6" w:themeShade="BF"/>
        </w:rPr>
        <w:t>.</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59257B35" w:rsidR="003E74D5" w:rsidRDefault="00B524F7" w:rsidP="003E74D5">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4A5CB1">
        <w:rPr>
          <w:color w:val="E36C0A" w:themeColor="accent6" w:themeShade="BF"/>
        </w:rPr>
        <w:t xml:space="preserve"> </w:t>
      </w:r>
      <w:r w:rsidR="004A5CB1" w:rsidRPr="00FF2C84">
        <w:rPr>
          <w:color w:val="E36C0A" w:themeColor="accent6" w:themeShade="BF"/>
          <w:highlight w:val="green"/>
        </w:rPr>
        <w:t>[</w:t>
      </w:r>
      <w:r w:rsidR="00CA52DC" w:rsidRPr="00FF2C84">
        <w:rPr>
          <w:color w:val="E36C0A" w:themeColor="accent6" w:themeShade="BF"/>
          <w:highlight w:val="green"/>
        </w:rPr>
        <w:t xml:space="preserve">figure </w:t>
      </w:r>
      <w:r w:rsidR="00AE5400" w:rsidRPr="00FF2C84">
        <w:rPr>
          <w:color w:val="E36C0A" w:themeColor="accent6" w:themeShade="BF"/>
          <w:highlight w:val="green"/>
        </w:rPr>
        <w:t>7</w:t>
      </w:r>
      <w:r w:rsidR="00FF2C84">
        <w:rPr>
          <w:color w:val="E36C0A" w:themeColor="accent6" w:themeShade="BF"/>
          <w:highlight w:val="green"/>
        </w:rPr>
        <w:t xml:space="preserve"> - </w:t>
      </w:r>
      <w:r w:rsidR="00FF2C84" w:rsidRPr="00A222E9">
        <w:rPr>
          <w:color w:val="E36C0A" w:themeColor="accent6" w:themeShade="BF"/>
          <w:highlight w:val="green"/>
        </w:rPr>
        <w:t>Supplementary figure 8</w:t>
      </w:r>
      <w:r w:rsidR="004A5CB1" w:rsidRPr="00FF2C84">
        <w:rPr>
          <w:color w:val="E36C0A" w:themeColor="accent6" w:themeShade="BF"/>
          <w:highlight w:val="green"/>
        </w:rPr>
        <w:t>]</w:t>
      </w:r>
      <w:r w:rsidRPr="00563529">
        <w:rPr>
          <w:color w:val="E36C0A" w:themeColor="accent6" w:themeShade="BF"/>
        </w:rPr>
        <w:t>.</w:t>
      </w:r>
      <w:r w:rsidR="00FE313F">
        <w:rPr>
          <w:color w:val="E36C0A" w:themeColor="accent6" w:themeShade="BF"/>
        </w:rPr>
        <w:t xml:space="preserve"> </w:t>
      </w:r>
      <w:r w:rsidR="003E74D5">
        <w:rPr>
          <w:color w:val="E36C0A" w:themeColor="accent6" w:themeShade="BF"/>
        </w:rPr>
        <w:t>Those results are in agreement with previous investigation of the same dataset</w:t>
      </w:r>
      <w:r w:rsidR="003E74D5">
        <w:rPr>
          <w:color w:val="E36C0A" w:themeColor="accent6" w:themeShade="BF"/>
        </w:rPr>
        <w:fldChar w:fldCharType="begin"/>
      </w:r>
      <w:r w:rsidR="003E74D5">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6</w:t>
      </w:r>
      <w:r w:rsidR="003E74D5">
        <w:rPr>
          <w:color w:val="E36C0A" w:themeColor="accent6" w:themeShade="BF"/>
        </w:rPr>
        <w:fldChar w:fldCharType="end"/>
      </w:r>
      <w:r w:rsidR="009B7CA2">
        <w:rPr>
          <w:color w:val="E36C0A" w:themeColor="accent6" w:themeShade="BF"/>
        </w:rPr>
        <w:t>.</w:t>
      </w:r>
      <w:r w:rsidR="007E4B08">
        <w:rPr>
          <w:color w:val="E36C0A" w:themeColor="accent6" w:themeShade="BF"/>
        </w:rPr>
        <w:t xml:space="preserve"> </w:t>
      </w:r>
      <w:r w:rsidR="003E74D5">
        <w:rPr>
          <w:color w:val="E36C0A" w:themeColor="accent6" w:themeShade="BF"/>
        </w:rPr>
        <w:t>In that study, we looked for cluster purity with the help of</w:t>
      </w:r>
      <w:r w:rsidR="003E74D5" w:rsidRPr="00727C74">
        <w:t xml:space="preserve"> </w:t>
      </w:r>
      <w:r w:rsidR="003E74D5" w:rsidRPr="00727C74">
        <w:rPr>
          <w:color w:val="E36C0A" w:themeColor="accent6" w:themeShade="BF"/>
        </w:rPr>
        <w:t xml:space="preserve">cophenetic </w:t>
      </w:r>
      <w:r w:rsidR="003E74D5">
        <w:rPr>
          <w:color w:val="E36C0A" w:themeColor="accent6" w:themeShade="BF"/>
        </w:rPr>
        <w:t xml:space="preserve">distance </w:t>
      </w:r>
      <w:r w:rsidR="003E74D5" w:rsidRPr="00727C74">
        <w:rPr>
          <w:color w:val="E36C0A" w:themeColor="accent6" w:themeShade="BF"/>
        </w:rPr>
        <w:t xml:space="preserve">of the </w:t>
      </w:r>
      <w:r w:rsidR="003E74D5">
        <w:rPr>
          <w:color w:val="E36C0A" w:themeColor="accent6" w:themeShade="BF"/>
        </w:rPr>
        <w:t xml:space="preserve">dendrogram generated for mRNA and protein datasets </w:t>
      </w:r>
      <w:r w:rsidR="003E74D5">
        <w:rPr>
          <w:color w:val="E36C0A" w:themeColor="accent6" w:themeShade="BF"/>
        </w:rPr>
        <w:fldChar w:fldCharType="begin"/>
      </w:r>
      <w:r w:rsidR="00A701D7">
        <w:rPr>
          <w:color w:val="E36C0A" w:themeColor="accent6" w:themeShade="BF"/>
        </w:rPr>
        <w:instrText xml:space="preserve"> ADDIN ZOTERO_ITEM CSL_CITATION {"citationID":"e5gosg61b","properties":{"formattedCitation":"{\\rtf \\super 27,28\\nosupersub{}}","plainCitation":"27,28"},"citationItems":[{"id":301,"uris":["http://zotero.org/users/local/FOPKHRFW/items/7PGH5UH2"],"uri":["http://zotero.org/users/local/FOPKHRFW/items/7PGH5UH2"],"itemData":{"id":301,"type":"article-journal","title":"The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Pr>
          <w:color w:val="E36C0A" w:themeColor="accent6" w:themeShade="BF"/>
        </w:rPr>
        <w:fldChar w:fldCharType="separate"/>
      </w:r>
      <w:r w:rsidR="00A701D7" w:rsidRPr="00A701D7">
        <w:rPr>
          <w:rFonts w:ascii="Calibri" w:eastAsia="Times New Roman" w:cs="Times New Roman"/>
          <w:color w:val="FF0000"/>
          <w:vertAlign w:val="superscript"/>
        </w:rPr>
        <w:t>27,28</w:t>
      </w:r>
      <w:r w:rsidR="003E74D5">
        <w:rPr>
          <w:color w:val="E36C0A" w:themeColor="accent6" w:themeShade="BF"/>
        </w:rPr>
        <w:fldChar w:fldCharType="end"/>
      </w:r>
      <w:r w:rsidR="003E74D5">
        <w:rPr>
          <w:color w:val="E36C0A" w:themeColor="accent6" w:themeShade="BF"/>
        </w:rPr>
        <w:t>. Comparison of those results with the predictability of the external conditions indicate, more the sample clusters are isola</w:t>
      </w:r>
      <w:r w:rsidR="004C06D5">
        <w:rPr>
          <w:color w:val="E36C0A" w:themeColor="accent6" w:themeShade="BF"/>
        </w:rPr>
        <w:t>ted more predictable they a</w:t>
      </w:r>
      <w:r w:rsidR="003E171B">
        <w:rPr>
          <w:color w:val="E36C0A" w:themeColor="accent6" w:themeShade="BF"/>
        </w:rPr>
        <w:t xml:space="preserve">re.  If we focus on paired data and look for the prediction performance for intersected mRNA, intersected protein and intersected mRNA &amp; protein data we see that </w:t>
      </w:r>
      <w:r w:rsidR="00477403">
        <w:rPr>
          <w:color w:val="E36C0A" w:themeColor="accent6" w:themeShade="BF"/>
        </w:rPr>
        <w:t>most of the time</w:t>
      </w:r>
      <w:r w:rsidR="001B6AE3">
        <w:rPr>
          <w:color w:val="E36C0A" w:themeColor="accent6" w:themeShade="BF"/>
        </w:rPr>
        <w:t xml:space="preserve"> </w:t>
      </w:r>
      <w:r w:rsidR="00477403">
        <w:rPr>
          <w:color w:val="E36C0A" w:themeColor="accent6" w:themeShade="BF"/>
        </w:rPr>
        <w:t>combined data performance is in between mRNA performance and protein performance and closed to the higher one</w:t>
      </w:r>
      <w:r w:rsidR="00A222E9">
        <w:rPr>
          <w:color w:val="E36C0A" w:themeColor="accent6" w:themeShade="BF"/>
        </w:rPr>
        <w:t xml:space="preserve"> </w:t>
      </w:r>
      <w:r w:rsidR="00A222E9" w:rsidRPr="00A222E9">
        <w:rPr>
          <w:color w:val="E36C0A" w:themeColor="accent6" w:themeShade="BF"/>
          <w:highlight w:val="green"/>
        </w:rPr>
        <w:t>[</w:t>
      </w:r>
      <w:r w:rsidR="00B03AB6" w:rsidRPr="00A222E9">
        <w:rPr>
          <w:color w:val="E36C0A" w:themeColor="accent6" w:themeShade="BF"/>
          <w:highlight w:val="green"/>
        </w:rPr>
        <w:t>Supplementary figure</w:t>
      </w:r>
      <w:r w:rsidR="00A222E9" w:rsidRPr="00A222E9">
        <w:rPr>
          <w:color w:val="E36C0A" w:themeColor="accent6" w:themeShade="BF"/>
          <w:highlight w:val="green"/>
        </w:rPr>
        <w:t xml:space="preserve"> 8]</w:t>
      </w:r>
      <w:r w:rsidR="00477403" w:rsidRPr="00A222E9">
        <w:rPr>
          <w:color w:val="E36C0A" w:themeColor="accent6" w:themeShade="BF"/>
          <w:highlight w:val="green"/>
        </w:rPr>
        <w:t>.</w:t>
      </w:r>
      <w:r w:rsidR="00A658B1">
        <w:rPr>
          <w:color w:val="E36C0A" w:themeColor="accent6" w:themeShade="BF"/>
        </w:rPr>
        <w:t xml:space="preserve"> </w:t>
      </w:r>
    </w:p>
    <w:p w14:paraId="6BFAA9E5" w14:textId="77777777" w:rsidR="0093631F" w:rsidRDefault="0093631F" w:rsidP="004F79A2">
      <w:pPr>
        <w:rPr>
          <w:color w:val="E36C0A" w:themeColor="accent6" w:themeShade="BF"/>
        </w:rPr>
      </w:pPr>
    </w:p>
    <w:p w14:paraId="6CA7C503" w14:textId="77777777" w:rsidR="00B524F7" w:rsidRDefault="00B524F7" w:rsidP="004F79A2"/>
    <w:p w14:paraId="33F9C5FD" w14:textId="6F7BE8B2"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A701D7">
        <w:instrText xml:space="preserve"> ADDIN ZOTERO_ITEM CSL_CITATION {"citationID":"auoenBbo","properties":{"formattedCitation":"{\\rtf \\super 29\\uc0\\u8211{}32\\nosupersub{}}","plainCitation":"29–32"},"citationItems":[{"id":266,"uris":["http://zotero.org/users/local/FOPKHRFW/items/TJIK6MAA"],"uri":["http://zotero.org/users/local/FOPKHRFW/items/TJIK6MAA"],"itemData":{"id":266,"type":"article-journal","title":"The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A701D7" w:rsidRPr="00A701D7">
        <w:rPr>
          <w:rFonts w:ascii="Calibri" w:eastAsia="Times New Roman" w:cs="Times New Roman"/>
          <w:vertAlign w:val="superscript"/>
        </w:rPr>
        <w:t>29–32</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B82310">
        <w:t xml:space="preserve">(figure </w:t>
      </w:r>
      <w:r w:rsidR="00B93FC2">
        <w:t>4a</w:t>
      </w:r>
      <w:r w:rsidR="00B82310">
        <w:t xml:space="preserve"> vs sup</w:t>
      </w:r>
      <w:r w:rsidR="00290B28">
        <w:t>plementary figure 4</w:t>
      </w:r>
      <w:r w:rsidR="00B93FC2">
        <w:t xml:space="preserve"> and figure 4b</w:t>
      </w:r>
      <w:r w:rsidR="00290B28">
        <w:t xml:space="preserve"> vs. supplementary figure 5</w:t>
      </w:r>
      <w:r w:rsidR="00B82310">
        <w:t xml:space="preserve">)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0A40F3">
        <w:t>T</w:t>
      </w:r>
      <w:r w:rsidR="00752AEB">
        <w:t>his trend</w:t>
      </w:r>
      <w:r w:rsidR="000A40F3">
        <w:t xml:space="preserve"> indicate</w:t>
      </w:r>
      <w:r w:rsidR="000B162D">
        <w:t>s</w:t>
      </w:r>
      <w:r>
        <w:t xml:space="preserve"> we are not in stationary </w:t>
      </w:r>
      <w:r w:rsidR="007B2E45">
        <w:t>predictability</w:t>
      </w:r>
      <w:r w:rsidR="006D6530">
        <w:t xml:space="preserve"> </w:t>
      </w:r>
      <w:r>
        <w:t>regime</w:t>
      </w:r>
      <w:r w:rsidR="006D6530">
        <w:t xml:space="preserve"> </w:t>
      </w:r>
      <w:r>
        <w:t xml:space="preserve">in terms of number of samples. </w:t>
      </w:r>
    </w:p>
    <w:p w14:paraId="23B0C2BC" w14:textId="77777777" w:rsidR="00DB5448" w:rsidRDefault="00DB5448" w:rsidP="004F79A2"/>
    <w:p w14:paraId="4F2B6C94" w14:textId="727F43BF" w:rsidR="00DB5448" w:rsidRDefault="00DB5448" w:rsidP="004F79A2">
      <w:r>
        <w:t>The second problem seems to be associated with sample number bias</w:t>
      </w:r>
      <w:r w:rsidR="00FA56F0">
        <w:fldChar w:fldCharType="begin"/>
      </w:r>
      <w:r w:rsidR="00A701D7">
        <w:instrText xml:space="preserve"> ADDIN ZOTERO_ITEM CSL_CITATION {"citationID":"2el8qmqlas","properties":{"formattedCitation":"{\\rtf \\super 33\\uc0\\u8211{}35\\nosupersub{}}","plainCitation":"33–35"},"citationItems":[{"id":425,"uris":["http://zotero.org/users/local/FOPKHRFW/items/G9DUIDW8"],"uri":["http://zotero.org/users/local/FOPKHRFW/items/G9DUIDW8"],"itemData":{"id":425,"type":"article-journal","title":"A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A701D7" w:rsidRPr="00A701D7">
        <w:rPr>
          <w:rFonts w:ascii="Calibri" w:eastAsia="Times New Roman" w:cs="Times New Roman"/>
          <w:vertAlign w:val="superscript"/>
        </w:rPr>
        <w:t>33–35</w:t>
      </w:r>
      <w:r w:rsidR="00FA56F0">
        <w:fldChar w:fldCharType="end"/>
      </w:r>
      <w:r>
        <w:t>, although we made</w:t>
      </w:r>
      <w:r w:rsidR="003367F9">
        <w:t xml:space="preserve"> </w:t>
      </w:r>
      <w:r>
        <w:t>correction</w:t>
      </w:r>
      <w:r w:rsidR="003367F9">
        <w:t>s</w:t>
      </w:r>
      <w:r>
        <w:t xml:space="preserve"> with weight factors</w:t>
      </w:r>
      <w:r w:rsidR="000E6A0F">
        <w:fldChar w:fldCharType="begin"/>
      </w:r>
      <w:r w:rsidR="00A701D7">
        <w:instrText xml:space="preserve"> ADDIN ZOTERO_ITEM CSL_CITATION {"citationID":"wOCuwVZ1","properties":{"formattedCitation":"{\\rtf \\super 36,37\\nosupersub{}}","plainCitation":"36,37"},"citationItems":[{"id":427,"uris":["http://zotero.org/users/local/FOPKHRFW/items/MFZZJWP2"],"uri":["http://zotero.org/users/local/FOPKHRFW/items/MFZZJWP2"],"itemData":{"id":427,"type":"paper-conference","title":"Weighted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A701D7" w:rsidRPr="00A701D7">
        <w:rPr>
          <w:rFonts w:ascii="Calibri" w:eastAsia="Times New Roman" w:cs="Times New Roman"/>
          <w:vertAlign w:val="superscript"/>
        </w:rPr>
        <w:t>36,37</w:t>
      </w:r>
      <w:r w:rsidR="000E6A0F">
        <w:fldChar w:fldCharType="end"/>
      </w:r>
      <w:r w:rsidR="00AE0060">
        <w:t xml:space="preserve"> and</w:t>
      </w:r>
      <w:r w:rsidR="003367F9">
        <w:t>, we chose multi conditional macro F1 score</w:t>
      </w:r>
      <w:r w:rsidR="00B15E66">
        <w:fldChar w:fldCharType="begin"/>
      </w:r>
      <w:r w:rsidR="00A701D7">
        <w:instrText xml:space="preserve"> ADDIN ZOTERO_ITEM CSL_CITATION {"citationID":"R99eTgb5","properties":{"formattedCitation":"{\\rtf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A701D7" w:rsidRPr="00A701D7">
        <w:rPr>
          <w:rFonts w:ascii="Calibri" w:eastAsia="Times New Roman" w:cs="Times New Roman"/>
          <w:vertAlign w:val="superscript"/>
        </w:rPr>
        <w:t>38</w:t>
      </w:r>
      <w:r w:rsidR="00B15E66">
        <w:fldChar w:fldCharType="end"/>
      </w:r>
      <w:r w:rsidR="003367F9">
        <w:t xml:space="preserve"> for </w:t>
      </w:r>
      <w:r w:rsidR="0027159B">
        <w:t>cost function in optimization process.</w:t>
      </w:r>
      <w:r w:rsidR="003367F9">
        <w:t xml:space="preserve"> </w:t>
      </w:r>
      <w:r w:rsidR="00701097">
        <w:t xml:space="preserve">it seems still there is a correlation between sample </w:t>
      </w:r>
      <w:r w:rsidR="00752AEB">
        <w:t>size and prediction performance; i.e</w:t>
      </w:r>
      <w:r w:rsidR="00CD3DF0">
        <w:t>.</w:t>
      </w:r>
      <w:r w:rsidR="00701097">
        <w:t xml:space="preserve"> </w:t>
      </w:r>
      <w:r w:rsidR="00752AEB">
        <w:t xml:space="preserve">the predictability of individual conditions increases with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183E7D8D"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A701D7">
        <w:instrText xml:space="preserve"> ADDIN ZOTERO_ITEM CSL_CITATION {"citationID":"pmvj8744n","properties":{"formattedCitation":"{\\rtf \\super 39\\nosupersub{}}","plainCitation":"39"},"citationItems":[{"id":55,"uris":["http://zotero.org/users/local/FOPKHRFW/items/MRCKBHWD"],"uri":["http://zotero.org/users/local/FOPKHRFW/items/MRCKBHWD"],"itemData":{"id":55,"type":"article-journal","title":"Differential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701D7" w:rsidRPr="00A701D7">
        <w:rPr>
          <w:rFonts w:ascii="Calibri" w:eastAsia="Times New Roman" w:cs="Times New Roman"/>
          <w:vertAlign w:val="superscript"/>
        </w:rPr>
        <w:t>39</w:t>
      </w:r>
      <w:r w:rsidR="00A230F8">
        <w:fldChar w:fldCharType="end"/>
      </w:r>
      <w:r w:rsidR="00512BEF">
        <w:t xml:space="preserve"> (</w:t>
      </w:r>
      <w:r w:rsidR="00512BEF" w:rsidRPr="00B13BD4">
        <w:rPr>
          <w:rFonts w:ascii="Courier New" w:hAnsi="Courier New" w:cs="Courier New"/>
        </w:rPr>
        <w:t>vst</w:t>
      </w:r>
      <w:r w:rsidR="00512BEF" w:rsidRPr="0083752F">
        <w:t>)</w:t>
      </w:r>
      <w:r w:rsidR="00A23686">
        <w:t xml:space="preserve"> on it.</w:t>
      </w:r>
      <w:r w:rsidR="00BB0534">
        <w:t xml:space="preserve"> </w:t>
      </w:r>
    </w:p>
    <w:p w14:paraId="27DF073B" w14:textId="77777777" w:rsidR="00A23686" w:rsidRDefault="00A23686" w:rsidP="002B4B63"/>
    <w:p w14:paraId="46F1491C" w14:textId="3F0A3C46" w:rsidR="00D31817" w:rsidRDefault="00A23686" w:rsidP="002B4B63">
      <w:r>
        <w:t xml:space="preserve">We then divide the </w:t>
      </w:r>
      <w:r w:rsidR="00847620">
        <w:t>data into two subsets; training</w:t>
      </w:r>
      <w:r w:rsidR="00A50373">
        <w:t>&amp;tune set</w:t>
      </w:r>
      <w:r w:rsidR="00847620">
        <w:t xml:space="preserve"> and test</w:t>
      </w:r>
      <w:r w:rsidR="00A50373">
        <w:t xml:space="preserve"> set</w:t>
      </w:r>
      <w:r w:rsidR="00847620">
        <w:t>. The division is semi random i.e. algorithm preserves the ratios of different conditions in training</w:t>
      </w:r>
      <w:r w:rsidR="003C7F9C">
        <w:t>&amp;tune</w:t>
      </w:r>
      <w:r w:rsidR="00847620">
        <w:t xml:space="preserve"> and test subsets.</w:t>
      </w:r>
      <w:r w:rsidR="00D81467">
        <w:t xml:space="preserve"> We preserve the condition labels for training</w:t>
      </w:r>
      <w:r w:rsidR="003C7F9C">
        <w:t>&amp;tune</w:t>
      </w:r>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knowing the labels of the test data. </w:t>
      </w:r>
      <w:r w:rsidR="00A50373">
        <w:t>With the fSVA algorithm we generate batch effect normalized training</w:t>
      </w:r>
      <w:r w:rsidR="003C7F9C">
        <w:t>&amp;tune</w:t>
      </w:r>
      <w:r w:rsidR="00A50373">
        <w:t xml:space="preserve"> and test datasets without knowing the labels of test data. </w:t>
      </w:r>
      <w:r w:rsidR="00F03A4F">
        <w:t>After fSVA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training</w:t>
      </w:r>
      <w:r w:rsidR="001E2818">
        <w:t>&amp;tune</w:t>
      </w:r>
      <w:r w:rsidR="00F03A4F">
        <w:t xml:space="preserve"> set and rotate the test</w:t>
      </w:r>
      <w:r w:rsidR="00A50373">
        <w:t xml:space="preserve"> data</w:t>
      </w:r>
      <w:r w:rsidR="00F03A4F">
        <w:t xml:space="preserve"> set with respect to principal axis of training</w:t>
      </w:r>
      <w:r w:rsidR="001E2818">
        <w:t>&amp;tune</w:t>
      </w:r>
      <w:r w:rsidR="00F03A4F">
        <w:t xml:space="preserve"> set</w:t>
      </w:r>
      <w:r w:rsidR="001E2818">
        <w:t>.</w:t>
      </w:r>
      <w:r w:rsidR="00A50373">
        <w:t xml:space="preserve"> </w:t>
      </w:r>
      <w:r w:rsidR="001E2818" w:rsidRPr="00E00781">
        <w:rPr>
          <w:color w:val="000000" w:themeColor="text1"/>
        </w:rPr>
        <w:t xml:space="preserve">We then </w:t>
      </w:r>
      <w:r w:rsidR="00B664DB">
        <w:rPr>
          <w:color w:val="000000" w:themeColor="text1"/>
        </w:rPr>
        <w:t>pick the most significant top xx</w:t>
      </w:r>
      <w:r w:rsidR="001E2818" w:rsidRPr="00E00781">
        <w:rPr>
          <w:color w:val="000000" w:themeColor="text1"/>
        </w:rPr>
        <w:t xml:space="preserve">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fSVA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B664DB">
        <w:t>xx</w:t>
      </w:r>
      <w:r w:rsidR="006300F6">
        <w:t xml:space="preserve"> times with independent divisions between </w:t>
      </w:r>
      <w:r w:rsidR="006300F6">
        <w:rPr>
          <w:color w:val="000000" w:themeColor="text1"/>
        </w:rPr>
        <w:t>training&amp;tune, and test data sets.</w:t>
      </w:r>
    </w:p>
    <w:p w14:paraId="70813AF5" w14:textId="77777777" w:rsidR="003B581C" w:rsidRDefault="003B581C" w:rsidP="002B4B63"/>
    <w:p w14:paraId="71DD60CF" w14:textId="5DA115C3"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r w:rsidR="00F46B02" w:rsidRPr="00003B9F">
        <w:rPr>
          <w:rFonts w:ascii="Courier New" w:hAnsi="Courier New" w:cs="Courier New"/>
        </w:rPr>
        <w:t>ntree</w:t>
      </w:r>
      <w:r w:rsidR="00F46B02">
        <w:t xml:space="preserve">, </w:t>
      </w:r>
      <w:r w:rsidR="00F46B02" w:rsidRPr="00F12E76">
        <w:rPr>
          <w:rFonts w:ascii="Courier New" w:hAnsi="Courier New" w:cs="Courier New"/>
        </w:rPr>
        <w:t>mtry</w:t>
      </w:r>
      <w:r w:rsidR="00F46B02">
        <w:t xml:space="preserve">, and </w:t>
      </w:r>
      <w:r w:rsidR="00F46B02" w:rsidRPr="00F12E76">
        <w:rPr>
          <w:rFonts w:ascii="Courier New" w:hAnsi="Courier New" w:cs="Courier New"/>
        </w:rPr>
        <w:t>nodesize</w:t>
      </w:r>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A701D7">
        <w:instrText xml:space="preserve"> ADDIN ZOTERO_ITEM CSL_CITATION {"citationID":"qsee37rkn","properties":{"formattedCitation":"{\\rtf \\super 40\\nosupersub{}}","plainCitation":"40"},"citationItems":[{"id":328,"uris":["http://zotero.org/users/local/FOPKHRFW/items/24D8IIIK"],"uri":["http://zotero.org/users/local/FOPKHRFW/items/24D8IIIK"],"itemData":{"id":328,"type":"article-journal","title":"LIBSVM: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A701D7" w:rsidRPr="00A701D7">
        <w:rPr>
          <w:rFonts w:ascii="Calibri" w:eastAsia="Times New Roman" w:cs="Times New Roman"/>
          <w:vertAlign w:val="superscript"/>
        </w:rPr>
        <w:t>40</w:t>
      </w:r>
      <w:r w:rsidR="006F005D">
        <w:fldChar w:fldCharType="end"/>
      </w:r>
      <w:r w:rsidR="00A14D94">
        <w:t xml:space="preserve"> library</w:t>
      </w:r>
      <w:r w:rsidR="006F005D">
        <w:t xml:space="preserve"> and randomForest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r w:rsidR="000717DC">
        <w:rPr>
          <w:color w:val="000000" w:themeColor="text1"/>
        </w:rPr>
        <w:t>training&amp;tune, and test data sets.</w:t>
      </w:r>
    </w:p>
    <w:p w14:paraId="44FEFA89" w14:textId="77777777" w:rsidR="00085507" w:rsidRDefault="00085507" w:rsidP="002B4B63"/>
    <w:p w14:paraId="29149862" w14:textId="2D8250BE" w:rsidR="002B4B63" w:rsidRDefault="000717DC" w:rsidP="002B4B63">
      <w:r>
        <w:t>At the end of</w:t>
      </w:r>
      <w:r w:rsidR="00B664DB">
        <w:t xml:space="preserve"> all procedure we end up with xx*4=xx</w:t>
      </w:r>
      <w:r>
        <w:t xml:space="preserve">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23EF9652" w:rsidR="00C1017A" w:rsidRDefault="00C1017A" w:rsidP="008563C5">
      <w:r>
        <w:t xml:space="preserve">The metric </w:t>
      </w:r>
      <w:r w:rsidR="005B092A">
        <w:t>we use is multi class macro</w:t>
      </w:r>
      <w:r w:rsidR="007D0071">
        <w:t xml:space="preserve"> F1 score </w:t>
      </w:r>
      <w:r w:rsidR="008434EC">
        <w:fldChar w:fldCharType="begin"/>
      </w:r>
      <w:r w:rsidR="00A701D7">
        <w:instrText xml:space="preserve"> ADDIN ZOTERO_ITEM CSL_CITATION {"citationID":"Ksg7mTw4","properties":{"formattedCitation":"{\\rtf \\super 10,38,41\\nosupersub{}}","plainCitation":"10,38,41"},"citationItems":[{"id":342,"uris":["http://zotero.org/users/local/FOPKHRFW/items/4HDKICEE"],"uri":["http://zotero.org/users/local/FOPKHRFW/items/4HDKICEE"],"itemData":{"id":342,"type":"article-journal","title":"An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A701D7" w:rsidRPr="00A701D7">
        <w:rPr>
          <w:rFonts w:ascii="Calibri" w:eastAsia="Times New Roman" w:cs="Times New Roman"/>
          <w:vertAlign w:val="superscript"/>
        </w:rPr>
        <w:t>10,38,41</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DC11BAA" w:rsidR="003C5C57" w:rsidRPr="003C5C57" w:rsidRDefault="0007693A"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A701D7">
        <w:rPr>
          <w:rFonts w:ascii="Arial" w:eastAsia="Times New Roman" w:hAnsi="Arial" w:cs="Arial"/>
          <w:color w:val="222222"/>
          <w:sz w:val="19"/>
          <w:szCs w:val="19"/>
        </w:rPr>
        <w:instrText xml:space="preserve"> ADDIN ZOTERO_ITEM CSL_CITATION {"citationID":"1ap6va2hfv","properties":{"formattedCitation":"{\\rtf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A701D7" w:rsidRPr="00A701D7">
        <w:rPr>
          <w:rFonts w:ascii="Arial" w:eastAsia="Times New Roman" w:hAnsi="Arial" w:cs="Arial"/>
          <w:color w:val="000000"/>
          <w:sz w:val="19"/>
          <w:vertAlign w:val="superscript"/>
        </w:rPr>
        <w:t>38</w:t>
      </w:r>
      <w:r w:rsidR="00E52998">
        <w:rPr>
          <w:rFonts w:ascii="Arial" w:eastAsia="Times New Roman" w:hAnsi="Arial" w:cs="Arial"/>
          <w:color w:val="222222"/>
          <w:sz w:val="19"/>
          <w:szCs w:val="19"/>
        </w:rPr>
        <w:fldChar w:fldCharType="end"/>
      </w:r>
    </w:p>
    <w:p w14:paraId="19C8BC23" w14:textId="1456C923" w:rsidR="003C5C57" w:rsidRDefault="0007693A"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13885A74" w14:textId="77777777" w:rsidR="00B664DB" w:rsidRPr="0098024D" w:rsidRDefault="00B664DB" w:rsidP="00B664DB">
      <w:r>
        <w:t xml:space="preserve">All statistical analyses were performed in R. </w:t>
      </w:r>
      <w:r w:rsidRPr="0098024D">
        <w:t xml:space="preserve">All processed data and analysis scripts are available on github: </w:t>
      </w:r>
      <w:hyperlink r:id="rId9" w:history="1">
        <w:r w:rsidRPr="0098024D">
          <w:rPr>
            <w:rStyle w:val="Hyperlink"/>
          </w:rPr>
          <w:t>https://github.com/umutcaglar/ecoli_multiple_growth_conditions</w:t>
        </w:r>
      </w:hyperlink>
    </w:p>
    <w:p w14:paraId="654490E2" w14:textId="41036DF5" w:rsidR="005346B9" w:rsidRDefault="00B664DB" w:rsidP="00315216">
      <w:r w:rsidRPr="0098024D">
        <w:rPr>
          <w:color w:val="000000" w:themeColor="text1"/>
        </w:rPr>
        <w:t>Raw Illumina read data and processed files of read counts per gene and normalized expression levels per gene have been deposited in the NCBI GEO database</w:t>
      </w:r>
      <w:r w:rsidRPr="0098024D">
        <w:rPr>
          <w:color w:val="000000" w:themeColor="text1"/>
        </w:rPr>
        <w:fldChar w:fldCharType="begin"/>
      </w:r>
      <w:r>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98024D">
        <w:rPr>
          <w:color w:val="000000" w:themeColor="text1"/>
        </w:rPr>
        <w:fldChar w:fldCharType="separate"/>
      </w:r>
      <w:r w:rsidRPr="0092732F">
        <w:rPr>
          <w:rFonts w:ascii="Calibri" w:eastAsia="Times New Roman" w:cs="Times New Roman"/>
          <w:color w:val="000000"/>
          <w:vertAlign w:val="superscript"/>
        </w:rPr>
        <w:t>47</w:t>
      </w:r>
      <w:r w:rsidRPr="0098024D">
        <w:rPr>
          <w:color w:val="000000" w:themeColor="text1"/>
        </w:rPr>
        <w:fldChar w:fldCharType="end"/>
      </w:r>
      <w:r w:rsidRPr="0098024D">
        <w:rPr>
          <w:color w:val="000000" w:themeColor="text1"/>
        </w:rPr>
        <w:t xml:space="preserve">  (accession GSE67402 for the glucose time-course previously published</w:t>
      </w:r>
      <w:r w:rsidRPr="0098024D">
        <w:rPr>
          <w:color w:val="000000" w:themeColor="text1"/>
        </w:rPr>
        <w:fldChar w:fldCharType="begin"/>
      </w:r>
      <w:r>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Pr="0098024D">
        <w:rPr>
          <w:rFonts w:ascii="Calibri" w:eastAsia="Times New Roman" w:cs="Times New Roman"/>
          <w:color w:val="000000"/>
          <w:vertAlign w:val="superscript"/>
        </w:rPr>
        <w:t>10</w:t>
      </w:r>
      <w:r w:rsidRPr="0098024D">
        <w:rPr>
          <w:color w:val="000000" w:themeColor="text1"/>
        </w:rPr>
        <w:fldChar w:fldCharType="end"/>
      </w:r>
      <w:r w:rsidRPr="0098024D">
        <w:rPr>
          <w:color w:val="000000" w:themeColor="text1"/>
        </w:rPr>
        <w:t xml:space="preserve">, </w:t>
      </w:r>
      <w:r w:rsidRPr="003309CB">
        <w:rPr>
          <w:color w:val="000000" w:themeColor="text1"/>
        </w:rPr>
        <w:t xml:space="preserve">accession </w:t>
      </w:r>
      <w:r w:rsidRPr="003309CB">
        <w:t>GSE94117</w:t>
      </w:r>
      <w:r w:rsidRPr="0098024D">
        <w:rPr>
          <w:color w:val="000000" w:themeColor="text1"/>
        </w:rPr>
        <w:t xml:space="preserve"> for all other experiments). The mass spectrometry proteomics data have been deposited to the ProteomeXchange Consortium via the PRIDE partner repository</w:t>
      </w:r>
      <w:r w:rsidRPr="0098024D">
        <w:rPr>
          <w:color w:val="000000" w:themeColor="text1"/>
        </w:rPr>
        <w:fldChar w:fldCharType="begin"/>
      </w:r>
      <w:r>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98024D">
        <w:rPr>
          <w:color w:val="000000" w:themeColor="text1"/>
        </w:rPr>
        <w:fldChar w:fldCharType="separate"/>
      </w:r>
      <w:r w:rsidRPr="0092732F">
        <w:rPr>
          <w:rFonts w:ascii="Calibri" w:eastAsia="Times New Roman" w:cs="Times New Roman"/>
          <w:color w:val="000000"/>
          <w:vertAlign w:val="superscript"/>
        </w:rPr>
        <w:t>48</w:t>
      </w:r>
      <w:r w:rsidRPr="0098024D">
        <w:rPr>
          <w:color w:val="000000" w:themeColor="text1"/>
        </w:rPr>
        <w:fldChar w:fldCharType="end"/>
      </w:r>
      <w:r w:rsidRPr="0098024D">
        <w:rPr>
          <w:color w:val="000000" w:themeColor="text1"/>
        </w:rPr>
        <w:t xml:space="preserve"> (accession PXD002140 for the glucose time-course previously published</w:t>
      </w:r>
      <w:r w:rsidRPr="0098024D">
        <w:rPr>
          <w:color w:val="000000" w:themeColor="text1"/>
        </w:rPr>
        <w:fldChar w:fldCharType="begin"/>
      </w:r>
      <w:r>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Pr="0098024D">
        <w:rPr>
          <w:rFonts w:ascii="Calibri" w:eastAsia="Times New Roman" w:cs="Times New Roman"/>
          <w:color w:val="000000"/>
          <w:vertAlign w:val="superscript"/>
        </w:rPr>
        <w:t>10</w:t>
      </w:r>
      <w:r w:rsidRPr="0098024D">
        <w:rPr>
          <w:color w:val="000000" w:themeColor="text1"/>
        </w:rPr>
        <w:fldChar w:fldCharType="end"/>
      </w:r>
      <w:r w:rsidRPr="0098024D">
        <w:rPr>
          <w:color w:val="000000" w:themeColor="text1"/>
        </w:rPr>
        <w:t>, accession PXD005721 for all other experiments</w:t>
      </w:r>
      <w:r>
        <w:rPr>
          <w:color w:val="000000" w:themeColor="text1"/>
        </w:rPr>
        <w:t>.</w:t>
      </w:r>
      <w:bookmarkStart w:id="0" w:name="_GoBack"/>
      <w:bookmarkEnd w:id="0"/>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E8D911C" w14:textId="77777777" w:rsidR="00A701D7" w:rsidRPr="00A701D7" w:rsidRDefault="000717DC" w:rsidP="00A701D7">
      <w:pPr>
        <w:pStyle w:val="Bibliography"/>
        <w:rPr>
          <w:rFonts w:ascii="Calibri"/>
        </w:rPr>
      </w:pPr>
      <w:r>
        <w:rPr>
          <w:rFonts w:ascii="Calibri"/>
        </w:rPr>
        <w:fldChar w:fldCharType="begin"/>
      </w:r>
      <w:r w:rsidR="001F75FB">
        <w:rPr>
          <w:rFonts w:ascii="Calibri"/>
        </w:rPr>
        <w:instrText xml:space="preserve"> ADDIN ZOTERO_BIBL {"custom":[]} CSL_BIBLIOGRAPHY </w:instrText>
      </w:r>
      <w:r>
        <w:rPr>
          <w:rFonts w:ascii="Calibri"/>
        </w:rPr>
        <w:fldChar w:fldCharType="separate"/>
      </w:r>
      <w:r w:rsidR="00A701D7" w:rsidRPr="00A701D7">
        <w:rPr>
          <w:rFonts w:ascii="Calibri"/>
        </w:rPr>
        <w:t>1.</w:t>
      </w:r>
      <w:r w:rsidR="00A701D7" w:rsidRPr="00A701D7">
        <w:rPr>
          <w:rFonts w:ascii="Calibri"/>
        </w:rPr>
        <w:tab/>
        <w:t xml:space="preserve">Kim, M., Rai, N., Zorraquino, V. &amp; Tagkopoulos, I. Multi-omics integration accurately predicts cellular state in unexplored conditions for Escherichia coli. </w:t>
      </w:r>
      <w:r w:rsidR="00A701D7" w:rsidRPr="00A701D7">
        <w:rPr>
          <w:rFonts w:ascii="Calibri"/>
          <w:i/>
          <w:iCs/>
        </w:rPr>
        <w:t>Nat. Commun.</w:t>
      </w:r>
      <w:r w:rsidR="00A701D7" w:rsidRPr="00A701D7">
        <w:rPr>
          <w:rFonts w:ascii="Calibri"/>
        </w:rPr>
        <w:t xml:space="preserve"> </w:t>
      </w:r>
      <w:r w:rsidR="00A701D7" w:rsidRPr="00A701D7">
        <w:rPr>
          <w:rFonts w:ascii="Calibri"/>
          <w:b/>
          <w:bCs/>
        </w:rPr>
        <w:t>7,</w:t>
      </w:r>
      <w:r w:rsidR="00A701D7" w:rsidRPr="00A701D7">
        <w:rPr>
          <w:rFonts w:ascii="Calibri"/>
        </w:rPr>
        <w:t xml:space="preserve"> (2016).</w:t>
      </w:r>
    </w:p>
    <w:p w14:paraId="68049784" w14:textId="77777777" w:rsidR="00A701D7" w:rsidRPr="00A701D7" w:rsidRDefault="00A701D7" w:rsidP="00A701D7">
      <w:pPr>
        <w:pStyle w:val="Bibliography"/>
        <w:rPr>
          <w:rFonts w:ascii="Calibri"/>
        </w:rPr>
      </w:pPr>
      <w:r w:rsidRPr="00A701D7">
        <w:rPr>
          <w:rFonts w:ascii="Calibri"/>
        </w:rPr>
        <w:t>2.</w:t>
      </w:r>
      <w:r w:rsidRPr="00A701D7">
        <w:rPr>
          <w:rFonts w:ascii="Calibri"/>
        </w:rPr>
        <w:tab/>
        <w:t xml:space="preserve">Leek, J. T. </w:t>
      </w:r>
      <w:r w:rsidRPr="00A701D7">
        <w:rPr>
          <w:rFonts w:ascii="Calibri"/>
          <w:i/>
          <w:iCs/>
        </w:rPr>
        <w:t>et al.</w:t>
      </w:r>
      <w:r w:rsidRPr="00A701D7">
        <w:rPr>
          <w:rFonts w:ascii="Calibri"/>
        </w:rPr>
        <w:t xml:space="preserve"> Tackling the widespread and critical impact of batch effects in high-throughput data. </w:t>
      </w:r>
      <w:r w:rsidRPr="00A701D7">
        <w:rPr>
          <w:rFonts w:ascii="Calibri"/>
          <w:i/>
          <w:iCs/>
        </w:rPr>
        <w:t>Nat. Rev. Genet.</w:t>
      </w:r>
      <w:r w:rsidRPr="00A701D7">
        <w:rPr>
          <w:rFonts w:ascii="Calibri"/>
        </w:rPr>
        <w:t xml:space="preserve"> </w:t>
      </w:r>
      <w:r w:rsidRPr="00A701D7">
        <w:rPr>
          <w:rFonts w:ascii="Calibri"/>
          <w:b/>
          <w:bCs/>
        </w:rPr>
        <w:t>11,</w:t>
      </w:r>
      <w:r w:rsidRPr="00A701D7">
        <w:rPr>
          <w:rFonts w:ascii="Calibri"/>
        </w:rPr>
        <w:t xml:space="preserve"> (2010).</w:t>
      </w:r>
    </w:p>
    <w:p w14:paraId="13359393" w14:textId="77777777" w:rsidR="00A701D7" w:rsidRPr="00A701D7" w:rsidRDefault="00A701D7" w:rsidP="00A701D7">
      <w:pPr>
        <w:pStyle w:val="Bibliography"/>
        <w:rPr>
          <w:rFonts w:ascii="Calibri"/>
        </w:rPr>
      </w:pPr>
      <w:r w:rsidRPr="00A701D7">
        <w:rPr>
          <w:rFonts w:ascii="Calibri"/>
        </w:rPr>
        <w:lastRenderedPageBreak/>
        <w:t>3.</w:t>
      </w:r>
      <w:r w:rsidRPr="00A701D7">
        <w:rPr>
          <w:rFonts w:ascii="Calibri"/>
        </w:rPr>
        <w:tab/>
        <w:t xml:space="preserve">Scharpf, R. B. </w:t>
      </w:r>
      <w:r w:rsidRPr="00A701D7">
        <w:rPr>
          <w:rFonts w:ascii="Calibri"/>
          <w:i/>
          <w:iCs/>
        </w:rPr>
        <w:t>et al.</w:t>
      </w:r>
      <w:r w:rsidRPr="00A701D7">
        <w:rPr>
          <w:rFonts w:ascii="Calibri"/>
        </w:rPr>
        <w:t xml:space="preserve"> A multilevel model to address batch effects in copy number estimation using SNP arrays. </w:t>
      </w:r>
      <w:r w:rsidRPr="00A701D7">
        <w:rPr>
          <w:rFonts w:ascii="Calibri"/>
          <w:i/>
          <w:iCs/>
        </w:rPr>
        <w:t>Biostat. Oxf. Engl.</w:t>
      </w:r>
      <w:r w:rsidRPr="00A701D7">
        <w:rPr>
          <w:rFonts w:ascii="Calibri"/>
        </w:rPr>
        <w:t xml:space="preserve"> </w:t>
      </w:r>
      <w:r w:rsidRPr="00A701D7">
        <w:rPr>
          <w:rFonts w:ascii="Calibri"/>
          <w:b/>
          <w:bCs/>
        </w:rPr>
        <w:t>12,</w:t>
      </w:r>
      <w:r w:rsidRPr="00A701D7">
        <w:rPr>
          <w:rFonts w:ascii="Calibri"/>
        </w:rPr>
        <w:t xml:space="preserve"> 33–50 (2011).</w:t>
      </w:r>
    </w:p>
    <w:p w14:paraId="096B221B" w14:textId="77777777" w:rsidR="00A701D7" w:rsidRPr="00A701D7" w:rsidRDefault="00A701D7" w:rsidP="00A701D7">
      <w:pPr>
        <w:pStyle w:val="Bibliography"/>
        <w:rPr>
          <w:rFonts w:ascii="Calibri"/>
        </w:rPr>
      </w:pPr>
      <w:r w:rsidRPr="00A701D7">
        <w:rPr>
          <w:rFonts w:ascii="Calibri"/>
        </w:rPr>
        <w:t>4.</w:t>
      </w:r>
      <w:r w:rsidRPr="00A701D7">
        <w:rPr>
          <w:rFonts w:ascii="Calibri"/>
        </w:rPr>
        <w:tab/>
        <w:t xml:space="preserve">Brandes, A. </w:t>
      </w:r>
      <w:r w:rsidRPr="00A701D7">
        <w:rPr>
          <w:rFonts w:ascii="Calibri"/>
          <w:i/>
          <w:iCs/>
        </w:rPr>
        <w:t>et al.</w:t>
      </w:r>
      <w:r w:rsidRPr="00A701D7">
        <w:rPr>
          <w:rFonts w:ascii="Calibri"/>
        </w:rPr>
        <w:t xml:space="preserve"> Inferring Carbon Sources from Gene Expression Profiles Using Metabolic Flux Models. </w:t>
      </w:r>
      <w:r w:rsidRPr="00A701D7">
        <w:rPr>
          <w:rFonts w:ascii="Calibri"/>
          <w:i/>
          <w:iCs/>
        </w:rPr>
        <w:t>PLOS ONE</w:t>
      </w:r>
      <w:r w:rsidRPr="00A701D7">
        <w:rPr>
          <w:rFonts w:ascii="Calibri"/>
        </w:rPr>
        <w:t xml:space="preserve"> </w:t>
      </w:r>
      <w:r w:rsidRPr="00A701D7">
        <w:rPr>
          <w:rFonts w:ascii="Calibri"/>
          <w:b/>
          <w:bCs/>
        </w:rPr>
        <w:t>7,</w:t>
      </w:r>
      <w:r w:rsidRPr="00A701D7">
        <w:rPr>
          <w:rFonts w:ascii="Calibri"/>
        </w:rPr>
        <w:t xml:space="preserve"> e36947 (2012).</w:t>
      </w:r>
    </w:p>
    <w:p w14:paraId="6E082605" w14:textId="77777777" w:rsidR="00A701D7" w:rsidRPr="00A701D7" w:rsidRDefault="00A701D7" w:rsidP="00A701D7">
      <w:pPr>
        <w:pStyle w:val="Bibliography"/>
        <w:rPr>
          <w:rFonts w:ascii="Calibri"/>
        </w:rPr>
      </w:pPr>
      <w:r w:rsidRPr="00A701D7">
        <w:rPr>
          <w:rFonts w:ascii="Calibri"/>
        </w:rPr>
        <w:t>5.</w:t>
      </w:r>
      <w:r w:rsidRPr="00A701D7">
        <w:rPr>
          <w:rFonts w:ascii="Calibri"/>
        </w:rPr>
        <w:tab/>
        <w:t xml:space="preserve">Sridhara, V. </w:t>
      </w:r>
      <w:r w:rsidRPr="00A701D7">
        <w:rPr>
          <w:rFonts w:ascii="Calibri"/>
          <w:i/>
          <w:iCs/>
        </w:rPr>
        <w:t>et al.</w:t>
      </w:r>
      <w:r w:rsidRPr="00A701D7">
        <w:rPr>
          <w:rFonts w:ascii="Calibri"/>
        </w:rPr>
        <w:t xml:space="preserve"> Predicting Growth Conditions from Internal Metabolic Fluxes in an In-Silico Model of E. coli. </w:t>
      </w:r>
      <w:r w:rsidRPr="00A701D7">
        <w:rPr>
          <w:rFonts w:ascii="Calibri"/>
          <w:i/>
          <w:iCs/>
        </w:rPr>
        <w:t>PLOS ONE</w:t>
      </w:r>
      <w:r w:rsidRPr="00A701D7">
        <w:rPr>
          <w:rFonts w:ascii="Calibri"/>
        </w:rPr>
        <w:t xml:space="preserve"> </w:t>
      </w:r>
      <w:r w:rsidRPr="00A701D7">
        <w:rPr>
          <w:rFonts w:ascii="Calibri"/>
          <w:b/>
          <w:bCs/>
        </w:rPr>
        <w:t>9,</w:t>
      </w:r>
      <w:r w:rsidRPr="00A701D7">
        <w:rPr>
          <w:rFonts w:ascii="Calibri"/>
        </w:rPr>
        <w:t xml:space="preserve"> e114608 (2014).</w:t>
      </w:r>
    </w:p>
    <w:p w14:paraId="49A78135" w14:textId="77777777" w:rsidR="00A701D7" w:rsidRPr="00A701D7" w:rsidRDefault="00A701D7" w:rsidP="00A701D7">
      <w:pPr>
        <w:pStyle w:val="Bibliography"/>
        <w:rPr>
          <w:rFonts w:ascii="Calibri"/>
        </w:rPr>
      </w:pPr>
      <w:r w:rsidRPr="00A701D7">
        <w:rPr>
          <w:rFonts w:ascii="Calibri"/>
        </w:rPr>
        <w:t>6.</w:t>
      </w:r>
      <w:r w:rsidRPr="00A701D7">
        <w:rPr>
          <w:rFonts w:ascii="Calibri"/>
        </w:rPr>
        <w:tab/>
        <w:t xml:space="preserve">Caglar, M. U. </w:t>
      </w:r>
      <w:r w:rsidRPr="00A701D7">
        <w:rPr>
          <w:rFonts w:ascii="Calibri"/>
          <w:i/>
          <w:iCs/>
        </w:rPr>
        <w:t>et al.</w:t>
      </w:r>
      <w:r w:rsidRPr="00A701D7">
        <w:rPr>
          <w:rFonts w:ascii="Calibri"/>
        </w:rPr>
        <w:t xml:space="preserve"> The E. coli molecular phenotype under different growth conditions. </w:t>
      </w:r>
      <w:r w:rsidRPr="00A701D7">
        <w:rPr>
          <w:rFonts w:ascii="Calibri"/>
          <w:i/>
          <w:iCs/>
        </w:rPr>
        <w:t>Sci. Rep.</w:t>
      </w:r>
      <w:r w:rsidRPr="00A701D7">
        <w:rPr>
          <w:rFonts w:ascii="Calibri"/>
        </w:rPr>
        <w:t xml:space="preserve"> </w:t>
      </w:r>
      <w:r w:rsidRPr="00A701D7">
        <w:rPr>
          <w:rFonts w:ascii="Calibri"/>
          <w:b/>
          <w:bCs/>
        </w:rPr>
        <w:t>7,</w:t>
      </w:r>
      <w:r w:rsidRPr="00A701D7">
        <w:rPr>
          <w:rFonts w:ascii="Calibri"/>
        </w:rPr>
        <w:t xml:space="preserve"> 45303 (2017).</w:t>
      </w:r>
    </w:p>
    <w:p w14:paraId="3A149D9B" w14:textId="77777777" w:rsidR="00A701D7" w:rsidRPr="00A701D7" w:rsidRDefault="00A701D7" w:rsidP="00A701D7">
      <w:pPr>
        <w:pStyle w:val="Bibliography"/>
        <w:rPr>
          <w:rFonts w:ascii="Calibri"/>
        </w:rPr>
      </w:pPr>
      <w:r w:rsidRPr="00A701D7">
        <w:rPr>
          <w:rFonts w:ascii="Calibri"/>
        </w:rPr>
        <w:t>7.</w:t>
      </w:r>
      <w:r w:rsidRPr="00A701D7">
        <w:rPr>
          <w:rFonts w:ascii="Calibri"/>
        </w:rPr>
        <w:tab/>
        <w:t xml:space="preserve">Houser, J. R. </w:t>
      </w:r>
      <w:r w:rsidRPr="00A701D7">
        <w:rPr>
          <w:rFonts w:ascii="Calibri"/>
          <w:i/>
          <w:iCs/>
        </w:rPr>
        <w:t>et al.</w:t>
      </w:r>
      <w:r w:rsidRPr="00A701D7">
        <w:rPr>
          <w:rFonts w:ascii="Calibri"/>
        </w:rPr>
        <w:t xml:space="preserve"> Controlled Measurement and Comparative Analysis of Cellular Components in E . coli Reveals Broad Regulatory Changes in Response to Glucose Starvation. </w:t>
      </w:r>
      <w:r w:rsidRPr="00A701D7">
        <w:rPr>
          <w:rFonts w:ascii="Calibri"/>
          <w:i/>
          <w:iCs/>
        </w:rPr>
        <w:t>PLOS Comput Biol</w:t>
      </w:r>
      <w:r w:rsidRPr="00A701D7">
        <w:rPr>
          <w:rFonts w:ascii="Calibri"/>
        </w:rPr>
        <w:t xml:space="preserve"> </w:t>
      </w:r>
      <w:r w:rsidRPr="00A701D7">
        <w:rPr>
          <w:rFonts w:ascii="Calibri"/>
          <w:b/>
          <w:bCs/>
        </w:rPr>
        <w:t>11,</w:t>
      </w:r>
      <w:r w:rsidRPr="00A701D7">
        <w:rPr>
          <w:rFonts w:ascii="Calibri"/>
        </w:rPr>
        <w:t xml:space="preserve"> e1004400 (2015).</w:t>
      </w:r>
    </w:p>
    <w:p w14:paraId="43EF047F" w14:textId="77777777" w:rsidR="00A701D7" w:rsidRPr="00A701D7" w:rsidRDefault="00A701D7" w:rsidP="00A701D7">
      <w:pPr>
        <w:pStyle w:val="Bibliography"/>
        <w:rPr>
          <w:rFonts w:ascii="Calibri"/>
        </w:rPr>
      </w:pPr>
      <w:r w:rsidRPr="00A701D7">
        <w:rPr>
          <w:rFonts w:ascii="Calibri"/>
        </w:rPr>
        <w:t>8.</w:t>
      </w:r>
      <w:r w:rsidRPr="00A701D7">
        <w:rPr>
          <w:rFonts w:ascii="Calibri"/>
        </w:rPr>
        <w:tab/>
        <w:t xml:space="preserve">Meyer, D. &amp; Wien, T. U. </w:t>
      </w:r>
      <w:r w:rsidRPr="00A701D7">
        <w:rPr>
          <w:rFonts w:ascii="Calibri"/>
          <w:i/>
          <w:iCs/>
        </w:rPr>
        <w:t>Support Vector Machines. The Interface to libsvm in package e1071. Online-Documentation of the package e1071 for "R</w:t>
      </w:r>
      <w:r w:rsidRPr="00A701D7">
        <w:rPr>
          <w:rFonts w:ascii="Calibri"/>
        </w:rPr>
        <w:t>. (2001).</w:t>
      </w:r>
    </w:p>
    <w:p w14:paraId="438C5706" w14:textId="77777777" w:rsidR="00A701D7" w:rsidRPr="00A701D7" w:rsidRDefault="00A701D7" w:rsidP="00A701D7">
      <w:pPr>
        <w:pStyle w:val="Bibliography"/>
        <w:rPr>
          <w:rFonts w:ascii="Calibri"/>
        </w:rPr>
      </w:pPr>
      <w:r w:rsidRPr="00A701D7">
        <w:rPr>
          <w:rFonts w:ascii="Calibri"/>
        </w:rPr>
        <w:t>9.</w:t>
      </w:r>
      <w:r w:rsidRPr="00A701D7">
        <w:rPr>
          <w:rFonts w:ascii="Calibri"/>
        </w:rPr>
        <w:tab/>
        <w:t xml:space="preserve">Liaw, A. &amp; Wiener, M. Classification and Regression by randomForest. </w:t>
      </w:r>
      <w:r w:rsidRPr="00A701D7">
        <w:rPr>
          <w:rFonts w:ascii="Calibri"/>
          <w:i/>
          <w:iCs/>
        </w:rPr>
        <w:t>R News</w:t>
      </w:r>
      <w:r w:rsidRPr="00A701D7">
        <w:rPr>
          <w:rFonts w:ascii="Calibri"/>
        </w:rPr>
        <w:t xml:space="preserve"> </w:t>
      </w:r>
      <w:r w:rsidRPr="00A701D7">
        <w:rPr>
          <w:rFonts w:ascii="Calibri"/>
          <w:b/>
          <w:bCs/>
        </w:rPr>
        <w:t>2,</w:t>
      </w:r>
      <w:r w:rsidRPr="00A701D7">
        <w:rPr>
          <w:rFonts w:ascii="Calibri"/>
        </w:rPr>
        <w:t xml:space="preserve"> 18–22 (2002).</w:t>
      </w:r>
    </w:p>
    <w:p w14:paraId="79F367AE" w14:textId="77777777" w:rsidR="00A701D7" w:rsidRPr="00A701D7" w:rsidRDefault="00A701D7" w:rsidP="00A701D7">
      <w:pPr>
        <w:pStyle w:val="Bibliography"/>
        <w:rPr>
          <w:rFonts w:ascii="Calibri"/>
        </w:rPr>
      </w:pPr>
      <w:r w:rsidRPr="00A701D7">
        <w:rPr>
          <w:rFonts w:ascii="Calibri"/>
        </w:rPr>
        <w:t>10.</w:t>
      </w:r>
      <w:r w:rsidRPr="00A701D7">
        <w:rPr>
          <w:rFonts w:ascii="Calibri"/>
        </w:rPr>
        <w:tab/>
        <w:t xml:space="preserve">Sokolova, M. &amp; Lapalme, G. A systematic analysis of performance measures for classification tasks. </w:t>
      </w:r>
      <w:r w:rsidRPr="00A701D7">
        <w:rPr>
          <w:rFonts w:ascii="Calibri"/>
          <w:i/>
          <w:iCs/>
        </w:rPr>
        <w:t>Inf. Process. Manag.</w:t>
      </w:r>
      <w:r w:rsidRPr="00A701D7">
        <w:rPr>
          <w:rFonts w:ascii="Calibri"/>
        </w:rPr>
        <w:t xml:space="preserve"> </w:t>
      </w:r>
      <w:r w:rsidRPr="00A701D7">
        <w:rPr>
          <w:rFonts w:ascii="Calibri"/>
          <w:b/>
          <w:bCs/>
        </w:rPr>
        <w:t>45,</w:t>
      </w:r>
      <w:r w:rsidRPr="00A701D7">
        <w:rPr>
          <w:rFonts w:ascii="Calibri"/>
        </w:rPr>
        <w:t xml:space="preserve"> 427–437 (2009).</w:t>
      </w:r>
    </w:p>
    <w:p w14:paraId="09DD6AA3" w14:textId="77777777" w:rsidR="00A701D7" w:rsidRPr="00A701D7" w:rsidRDefault="00A701D7" w:rsidP="00A701D7">
      <w:pPr>
        <w:pStyle w:val="Bibliography"/>
        <w:rPr>
          <w:rFonts w:ascii="Calibri"/>
        </w:rPr>
      </w:pPr>
      <w:r w:rsidRPr="00A701D7">
        <w:rPr>
          <w:rFonts w:ascii="Calibri"/>
        </w:rPr>
        <w:t>11.</w:t>
      </w:r>
      <w:r w:rsidRPr="00A701D7">
        <w:rPr>
          <w:rFonts w:ascii="Calibri"/>
        </w:rPr>
        <w:tab/>
        <w:t xml:space="preserve">Love, M. I., Huber, W. &amp; Anders, S. Moderated estimation of fold change and dispersion for RNA-seq data with DESeq2. </w:t>
      </w:r>
      <w:r w:rsidRPr="00A701D7">
        <w:rPr>
          <w:rFonts w:ascii="Calibri"/>
          <w:i/>
          <w:iCs/>
        </w:rPr>
        <w:t>Genome Biol.</w:t>
      </w:r>
      <w:r w:rsidRPr="00A701D7">
        <w:rPr>
          <w:rFonts w:ascii="Calibri"/>
        </w:rPr>
        <w:t xml:space="preserve"> </w:t>
      </w:r>
      <w:r w:rsidRPr="00A701D7">
        <w:rPr>
          <w:rFonts w:ascii="Calibri"/>
          <w:b/>
          <w:bCs/>
        </w:rPr>
        <w:t>15,</w:t>
      </w:r>
      <w:r w:rsidRPr="00A701D7">
        <w:rPr>
          <w:rFonts w:ascii="Calibri"/>
        </w:rPr>
        <w:t xml:space="preserve"> 550 (2014).</w:t>
      </w:r>
    </w:p>
    <w:p w14:paraId="0E509C66" w14:textId="77777777" w:rsidR="00A701D7" w:rsidRPr="00A701D7" w:rsidRDefault="00A701D7" w:rsidP="00A701D7">
      <w:pPr>
        <w:pStyle w:val="Bibliography"/>
        <w:rPr>
          <w:rFonts w:ascii="Calibri"/>
        </w:rPr>
      </w:pPr>
      <w:r w:rsidRPr="00A701D7">
        <w:rPr>
          <w:rFonts w:ascii="Calibri"/>
        </w:rPr>
        <w:t>12.</w:t>
      </w:r>
      <w:r w:rsidRPr="00A701D7">
        <w:rPr>
          <w:rFonts w:ascii="Calibri"/>
        </w:rPr>
        <w:tab/>
        <w:t xml:space="preserve">Parker, H. S., Bravo, H. C. &amp; Leek, J. T. Removing batch effects for prediction problems with frozen surrogate variable analysis. </w:t>
      </w:r>
      <w:r w:rsidRPr="00A701D7">
        <w:rPr>
          <w:rFonts w:ascii="Calibri"/>
          <w:i/>
          <w:iCs/>
        </w:rPr>
        <w:t>ArXiv13013947 Stat</w:t>
      </w:r>
      <w:r w:rsidRPr="00A701D7">
        <w:rPr>
          <w:rFonts w:ascii="Calibri"/>
        </w:rPr>
        <w:t xml:space="preserve"> (2013).</w:t>
      </w:r>
    </w:p>
    <w:p w14:paraId="458CBCD6" w14:textId="77777777" w:rsidR="00A701D7" w:rsidRPr="00A701D7" w:rsidRDefault="00A701D7" w:rsidP="00A701D7">
      <w:pPr>
        <w:pStyle w:val="Bibliography"/>
        <w:rPr>
          <w:rFonts w:ascii="Calibri"/>
        </w:rPr>
      </w:pPr>
      <w:r w:rsidRPr="00A701D7">
        <w:rPr>
          <w:rFonts w:ascii="Calibri"/>
        </w:rPr>
        <w:t>13.</w:t>
      </w:r>
      <w:r w:rsidRPr="00A701D7">
        <w:rPr>
          <w:rFonts w:ascii="Calibri"/>
        </w:rPr>
        <w:tab/>
        <w:t xml:space="preserve">Jolliffe, I. in </w:t>
      </w:r>
      <w:r w:rsidRPr="00A701D7">
        <w:rPr>
          <w:rFonts w:ascii="Calibri"/>
          <w:i/>
          <w:iCs/>
        </w:rPr>
        <w:t>Wiley StatsRef: Statistics Reference Online</w:t>
      </w:r>
      <w:r w:rsidRPr="00A701D7">
        <w:rPr>
          <w:rFonts w:ascii="Calibri"/>
        </w:rPr>
        <w:t xml:space="preserve"> (John Wiley &amp; Sons, Ltd, 2014). doi:10.1002/9781118445112.stat06472</w:t>
      </w:r>
    </w:p>
    <w:p w14:paraId="43353808" w14:textId="77777777" w:rsidR="00A701D7" w:rsidRPr="00A701D7" w:rsidRDefault="00A701D7" w:rsidP="00A701D7">
      <w:pPr>
        <w:pStyle w:val="Bibliography"/>
        <w:rPr>
          <w:rFonts w:ascii="Calibri"/>
        </w:rPr>
      </w:pPr>
      <w:r w:rsidRPr="00A701D7">
        <w:rPr>
          <w:rFonts w:ascii="Calibri"/>
        </w:rPr>
        <w:lastRenderedPageBreak/>
        <w:t>14.</w:t>
      </w:r>
      <w:r w:rsidRPr="00A701D7">
        <w:rPr>
          <w:rFonts w:ascii="Calibri"/>
        </w:rPr>
        <w:tab/>
        <w:t xml:space="preserve">Zhang, W., Li, F. &amp; Nie, L. Integrating multiple ‘omics’ analysis for microbial biology: application and methodologies. </w:t>
      </w:r>
      <w:r w:rsidRPr="00A701D7">
        <w:rPr>
          <w:rFonts w:ascii="Calibri"/>
          <w:i/>
          <w:iCs/>
        </w:rPr>
        <w:t>Microbiol. Read. Engl.</w:t>
      </w:r>
      <w:r w:rsidRPr="00A701D7">
        <w:rPr>
          <w:rFonts w:ascii="Calibri"/>
        </w:rPr>
        <w:t xml:space="preserve"> </w:t>
      </w:r>
      <w:r w:rsidRPr="00A701D7">
        <w:rPr>
          <w:rFonts w:ascii="Calibri"/>
          <w:b/>
          <w:bCs/>
        </w:rPr>
        <w:t>156,</w:t>
      </w:r>
      <w:r w:rsidRPr="00A701D7">
        <w:rPr>
          <w:rFonts w:ascii="Calibri"/>
        </w:rPr>
        <w:t xml:space="preserve"> 287–301 (2010).</w:t>
      </w:r>
    </w:p>
    <w:p w14:paraId="6BB36006" w14:textId="77777777" w:rsidR="00A701D7" w:rsidRPr="00A701D7" w:rsidRDefault="00A701D7" w:rsidP="00A701D7">
      <w:pPr>
        <w:pStyle w:val="Bibliography"/>
        <w:rPr>
          <w:rFonts w:ascii="Calibri"/>
        </w:rPr>
      </w:pPr>
      <w:r w:rsidRPr="00A701D7">
        <w:rPr>
          <w:rFonts w:ascii="Calibri"/>
        </w:rPr>
        <w:t>15.</w:t>
      </w:r>
      <w:r w:rsidRPr="00A701D7">
        <w:rPr>
          <w:rFonts w:ascii="Calibri"/>
        </w:rPr>
        <w:tab/>
        <w:t xml:space="preserve">Wilmes, A. </w:t>
      </w:r>
      <w:r w:rsidRPr="00A701D7">
        <w:rPr>
          <w:rFonts w:ascii="Calibri"/>
          <w:i/>
          <w:iCs/>
        </w:rPr>
        <w:t>et al.</w:t>
      </w:r>
      <w:r w:rsidRPr="00A701D7">
        <w:rPr>
          <w:rFonts w:ascii="Calibri"/>
        </w:rPr>
        <w:t xml:space="preserve"> Application of integrated transcriptomic, proteomic and metabolomic profiling for the delineation of mechanisms of drug induced cell stress. </w:t>
      </w:r>
      <w:r w:rsidRPr="00A701D7">
        <w:rPr>
          <w:rFonts w:ascii="Calibri"/>
          <w:i/>
          <w:iCs/>
        </w:rPr>
        <w:t>J. Proteomics</w:t>
      </w:r>
      <w:r w:rsidRPr="00A701D7">
        <w:rPr>
          <w:rFonts w:ascii="Calibri"/>
        </w:rPr>
        <w:t xml:space="preserve"> </w:t>
      </w:r>
      <w:r w:rsidRPr="00A701D7">
        <w:rPr>
          <w:rFonts w:ascii="Calibri"/>
          <w:b/>
          <w:bCs/>
        </w:rPr>
        <w:t>79,</w:t>
      </w:r>
      <w:r w:rsidRPr="00A701D7">
        <w:rPr>
          <w:rFonts w:ascii="Calibri"/>
        </w:rPr>
        <w:t xml:space="preserve"> 180–194 (2013).</w:t>
      </w:r>
    </w:p>
    <w:p w14:paraId="5B77AD34" w14:textId="77777777" w:rsidR="00A701D7" w:rsidRPr="00A701D7" w:rsidRDefault="00A701D7" w:rsidP="00A701D7">
      <w:pPr>
        <w:pStyle w:val="Bibliography"/>
        <w:rPr>
          <w:rFonts w:ascii="Calibri"/>
        </w:rPr>
      </w:pPr>
      <w:r w:rsidRPr="00A701D7">
        <w:rPr>
          <w:rFonts w:ascii="Calibri"/>
        </w:rPr>
        <w:t>16.</w:t>
      </w:r>
      <w:r w:rsidRPr="00A701D7">
        <w:rPr>
          <w:rFonts w:ascii="Calibri"/>
        </w:rPr>
        <w:tab/>
        <w:t xml:space="preserve">Nie, L., Wu, G., Culley, D. E., Scholten, J. C. M. &amp; Zhang, W. Integrative Analysis of Transcriptomic and Proteomic Data: Challenges, Solutions and Applications. </w:t>
      </w:r>
      <w:r w:rsidRPr="00A701D7">
        <w:rPr>
          <w:rFonts w:ascii="Calibri"/>
          <w:i/>
          <w:iCs/>
        </w:rPr>
        <w:t>Crit. Rev. Biotechnol.</w:t>
      </w:r>
      <w:r w:rsidRPr="00A701D7">
        <w:rPr>
          <w:rFonts w:ascii="Calibri"/>
        </w:rPr>
        <w:t xml:space="preserve"> </w:t>
      </w:r>
      <w:r w:rsidRPr="00A701D7">
        <w:rPr>
          <w:rFonts w:ascii="Calibri"/>
          <w:b/>
          <w:bCs/>
        </w:rPr>
        <w:t>27,</w:t>
      </w:r>
      <w:r w:rsidRPr="00A701D7">
        <w:rPr>
          <w:rFonts w:ascii="Calibri"/>
        </w:rPr>
        <w:t xml:space="preserve"> 63–75 (2007).</w:t>
      </w:r>
    </w:p>
    <w:p w14:paraId="193C9ACE" w14:textId="77777777" w:rsidR="00A701D7" w:rsidRPr="00A701D7" w:rsidRDefault="00A701D7" w:rsidP="00A701D7">
      <w:pPr>
        <w:pStyle w:val="Bibliography"/>
        <w:rPr>
          <w:rFonts w:ascii="Calibri"/>
        </w:rPr>
      </w:pPr>
      <w:r w:rsidRPr="00A701D7">
        <w:rPr>
          <w:rFonts w:ascii="Calibri"/>
        </w:rPr>
        <w:t>17.</w:t>
      </w:r>
      <w:r w:rsidRPr="00A701D7">
        <w:rPr>
          <w:rFonts w:ascii="Calibri"/>
        </w:rPr>
        <w:tab/>
        <w:t xml:space="preserve">Oliveira, A. P. &amp; Sauer, U. The importance of post-translational modifications in regulating Saccharomyces cerevisiae metabolism. </w:t>
      </w:r>
      <w:r w:rsidRPr="00A701D7">
        <w:rPr>
          <w:rFonts w:ascii="Calibri"/>
          <w:i/>
          <w:iCs/>
        </w:rPr>
        <w:t>FEMS Yeast Res.</w:t>
      </w:r>
      <w:r w:rsidRPr="00A701D7">
        <w:rPr>
          <w:rFonts w:ascii="Calibri"/>
        </w:rPr>
        <w:t xml:space="preserve"> </w:t>
      </w:r>
      <w:r w:rsidRPr="00A701D7">
        <w:rPr>
          <w:rFonts w:ascii="Calibri"/>
          <w:b/>
          <w:bCs/>
        </w:rPr>
        <w:t>12,</w:t>
      </w:r>
      <w:r w:rsidRPr="00A701D7">
        <w:rPr>
          <w:rFonts w:ascii="Calibri"/>
        </w:rPr>
        <w:t xml:space="preserve"> 104–117 (2012).</w:t>
      </w:r>
    </w:p>
    <w:p w14:paraId="450B8E6D" w14:textId="77777777" w:rsidR="00A701D7" w:rsidRPr="00A701D7" w:rsidRDefault="00A701D7" w:rsidP="00A701D7">
      <w:pPr>
        <w:pStyle w:val="Bibliography"/>
        <w:rPr>
          <w:rFonts w:ascii="Calibri"/>
        </w:rPr>
      </w:pPr>
      <w:r w:rsidRPr="00A701D7">
        <w:rPr>
          <w:rFonts w:ascii="Calibri"/>
        </w:rPr>
        <w:t>18.</w:t>
      </w:r>
      <w:r w:rsidRPr="00A701D7">
        <w:rPr>
          <w:rFonts w:ascii="Calibri"/>
        </w:rPr>
        <w:tab/>
        <w:t xml:space="preserve">de Nadal, E., Ammerer, G. &amp; Posas, F. Controlling gene expression in response to stress. </w:t>
      </w:r>
      <w:r w:rsidRPr="00A701D7">
        <w:rPr>
          <w:rFonts w:ascii="Calibri"/>
          <w:i/>
          <w:iCs/>
        </w:rPr>
        <w:t>Nat. Rev. Genet.</w:t>
      </w:r>
      <w:r w:rsidRPr="00A701D7">
        <w:rPr>
          <w:rFonts w:ascii="Calibri"/>
        </w:rPr>
        <w:t xml:space="preserve"> </w:t>
      </w:r>
      <w:r w:rsidRPr="00A701D7">
        <w:rPr>
          <w:rFonts w:ascii="Calibri"/>
          <w:b/>
          <w:bCs/>
        </w:rPr>
        <w:t>12,</w:t>
      </w:r>
      <w:r w:rsidRPr="00A701D7">
        <w:rPr>
          <w:rFonts w:ascii="Calibri"/>
        </w:rPr>
        <w:t xml:space="preserve"> 833–845 (2011).</w:t>
      </w:r>
    </w:p>
    <w:p w14:paraId="6763D146" w14:textId="77777777" w:rsidR="00A701D7" w:rsidRPr="00A701D7" w:rsidRDefault="00A701D7" w:rsidP="00A701D7">
      <w:pPr>
        <w:pStyle w:val="Bibliography"/>
        <w:rPr>
          <w:rFonts w:ascii="Calibri"/>
        </w:rPr>
      </w:pPr>
      <w:r w:rsidRPr="00A701D7">
        <w:rPr>
          <w:rFonts w:ascii="Calibri"/>
        </w:rPr>
        <w:t>19.</w:t>
      </w:r>
      <w:r w:rsidRPr="00A701D7">
        <w:rPr>
          <w:rFonts w:ascii="Calibri"/>
        </w:rPr>
        <w:tab/>
        <w:t xml:space="preserve">R Kolter, D A Siegele &amp; Tormo,  and A. The Stationary Phase of The Bacterial Life Cycle. </w:t>
      </w:r>
      <w:r w:rsidRPr="00A701D7">
        <w:rPr>
          <w:rFonts w:ascii="Calibri"/>
          <w:i/>
          <w:iCs/>
        </w:rPr>
        <w:t>Annu. Rev. Microbiol.</w:t>
      </w:r>
      <w:r w:rsidRPr="00A701D7">
        <w:rPr>
          <w:rFonts w:ascii="Calibri"/>
        </w:rPr>
        <w:t xml:space="preserve"> </w:t>
      </w:r>
      <w:r w:rsidRPr="00A701D7">
        <w:rPr>
          <w:rFonts w:ascii="Calibri"/>
          <w:b/>
          <w:bCs/>
        </w:rPr>
        <w:t>47,</w:t>
      </w:r>
      <w:r w:rsidRPr="00A701D7">
        <w:rPr>
          <w:rFonts w:ascii="Calibri"/>
        </w:rPr>
        <w:t xml:space="preserve"> 855–874 (1993).</w:t>
      </w:r>
    </w:p>
    <w:p w14:paraId="7B6056EC" w14:textId="77777777" w:rsidR="00A701D7" w:rsidRPr="00A701D7" w:rsidRDefault="00A701D7" w:rsidP="00A701D7">
      <w:pPr>
        <w:pStyle w:val="Bibliography"/>
        <w:rPr>
          <w:rFonts w:ascii="Calibri"/>
        </w:rPr>
      </w:pPr>
      <w:r w:rsidRPr="00A701D7">
        <w:rPr>
          <w:rFonts w:ascii="Calibri"/>
        </w:rPr>
        <w:t>20.</w:t>
      </w:r>
      <w:r w:rsidRPr="00A701D7">
        <w:rPr>
          <w:rFonts w:ascii="Calibri"/>
        </w:rPr>
        <w:tab/>
        <w:t xml:space="preserve">Maier, R. in </w:t>
      </w:r>
      <w:r w:rsidRPr="00A701D7">
        <w:rPr>
          <w:rFonts w:ascii="Calibri"/>
          <w:b/>
          <w:bCs/>
        </w:rPr>
        <w:t>Chapter 3. Bacterial Growth,</w:t>
      </w:r>
      <w:r w:rsidRPr="00A701D7">
        <w:rPr>
          <w:rFonts w:ascii="Calibri"/>
        </w:rPr>
        <w:t xml:space="preserve"> 40 (Academic Press, 2014).</w:t>
      </w:r>
    </w:p>
    <w:p w14:paraId="39F39C89" w14:textId="77777777" w:rsidR="00A701D7" w:rsidRPr="00A701D7" w:rsidRDefault="00A701D7" w:rsidP="00A701D7">
      <w:pPr>
        <w:pStyle w:val="Bibliography"/>
        <w:rPr>
          <w:rFonts w:ascii="Calibri"/>
        </w:rPr>
      </w:pPr>
      <w:r w:rsidRPr="00A701D7">
        <w:rPr>
          <w:rFonts w:ascii="Calibri"/>
        </w:rPr>
        <w:t>21.</w:t>
      </w:r>
      <w:r w:rsidRPr="00A701D7">
        <w:rPr>
          <w:rFonts w:ascii="Calibri"/>
        </w:rPr>
        <w:tab/>
        <w:t xml:space="preserve">Keren, L. </w:t>
      </w:r>
      <w:r w:rsidRPr="00A701D7">
        <w:rPr>
          <w:rFonts w:ascii="Calibri"/>
          <w:i/>
          <w:iCs/>
        </w:rPr>
        <w:t>et al.</w:t>
      </w:r>
      <w:r w:rsidRPr="00A701D7">
        <w:rPr>
          <w:rFonts w:ascii="Calibri"/>
        </w:rPr>
        <w:t xml:space="preserve"> Noise in gene expression is coupled to growth rate. </w:t>
      </w:r>
      <w:r w:rsidRPr="00A701D7">
        <w:rPr>
          <w:rFonts w:ascii="Calibri"/>
          <w:i/>
          <w:iCs/>
        </w:rPr>
        <w:t>Genome Res.</w:t>
      </w:r>
      <w:r w:rsidRPr="00A701D7">
        <w:rPr>
          <w:rFonts w:ascii="Calibri"/>
        </w:rPr>
        <w:t xml:space="preserve"> gr.191635.115 (2015). doi:10.1101/gr.191635.115</w:t>
      </w:r>
    </w:p>
    <w:p w14:paraId="51C916E6" w14:textId="77777777" w:rsidR="00A701D7" w:rsidRPr="00A701D7" w:rsidRDefault="00A701D7" w:rsidP="00A701D7">
      <w:pPr>
        <w:pStyle w:val="Bibliography"/>
        <w:rPr>
          <w:rFonts w:ascii="Calibri"/>
        </w:rPr>
      </w:pPr>
      <w:r w:rsidRPr="00A701D7">
        <w:rPr>
          <w:rFonts w:ascii="Calibri"/>
        </w:rPr>
        <w:t>22.</w:t>
      </w:r>
      <w:r w:rsidRPr="00A701D7">
        <w:rPr>
          <w:rFonts w:ascii="Calibri"/>
        </w:rPr>
        <w:tab/>
        <w:t xml:space="preserve">Ingraham, J. L., Maaløe, O. &amp; Neidhardt, F. C. </w:t>
      </w:r>
      <w:r w:rsidRPr="00A701D7">
        <w:rPr>
          <w:rFonts w:ascii="Calibri"/>
          <w:i/>
          <w:iCs/>
        </w:rPr>
        <w:t>Growth of the bacterial cell</w:t>
      </w:r>
      <w:r w:rsidRPr="00A701D7">
        <w:rPr>
          <w:rFonts w:ascii="Calibri"/>
        </w:rPr>
        <w:t>. (Sinauer Associates, 1983).</w:t>
      </w:r>
    </w:p>
    <w:p w14:paraId="2A805B4F" w14:textId="77777777" w:rsidR="00A701D7" w:rsidRPr="00A701D7" w:rsidRDefault="00A701D7" w:rsidP="00A701D7">
      <w:pPr>
        <w:pStyle w:val="Bibliography"/>
        <w:rPr>
          <w:rFonts w:ascii="Calibri"/>
        </w:rPr>
      </w:pPr>
      <w:r w:rsidRPr="00A701D7">
        <w:rPr>
          <w:rFonts w:ascii="Calibri"/>
        </w:rPr>
        <w:t>23.</w:t>
      </w:r>
      <w:r w:rsidRPr="00A701D7">
        <w:rPr>
          <w:rFonts w:ascii="Calibri"/>
        </w:rPr>
        <w:tab/>
        <w:t xml:space="preserve">Keren, L. </w:t>
      </w:r>
      <w:r w:rsidRPr="00A701D7">
        <w:rPr>
          <w:rFonts w:ascii="Calibri"/>
          <w:i/>
          <w:iCs/>
        </w:rPr>
        <w:t>et al.</w:t>
      </w:r>
      <w:r w:rsidRPr="00A701D7">
        <w:rPr>
          <w:rFonts w:ascii="Calibri"/>
        </w:rPr>
        <w:t xml:space="preserve"> Promoters maintain their relative activity levels under different growth conditions. </w:t>
      </w:r>
      <w:r w:rsidRPr="00A701D7">
        <w:rPr>
          <w:rFonts w:ascii="Calibri"/>
          <w:i/>
          <w:iCs/>
        </w:rPr>
        <w:t>Mol. Syst. Biol.</w:t>
      </w:r>
      <w:r w:rsidRPr="00A701D7">
        <w:rPr>
          <w:rFonts w:ascii="Calibri"/>
        </w:rPr>
        <w:t xml:space="preserve"> </w:t>
      </w:r>
      <w:r w:rsidRPr="00A701D7">
        <w:rPr>
          <w:rFonts w:ascii="Calibri"/>
          <w:b/>
          <w:bCs/>
        </w:rPr>
        <w:t>9,</w:t>
      </w:r>
      <w:r w:rsidRPr="00A701D7">
        <w:rPr>
          <w:rFonts w:ascii="Calibri"/>
        </w:rPr>
        <w:t xml:space="preserve"> 701 (2013).</w:t>
      </w:r>
    </w:p>
    <w:p w14:paraId="193BB2CE" w14:textId="77777777" w:rsidR="00A701D7" w:rsidRPr="00A701D7" w:rsidRDefault="00A701D7" w:rsidP="00A701D7">
      <w:pPr>
        <w:pStyle w:val="Bibliography"/>
        <w:rPr>
          <w:rFonts w:ascii="Calibri"/>
        </w:rPr>
      </w:pPr>
      <w:r w:rsidRPr="00A701D7">
        <w:rPr>
          <w:rFonts w:ascii="Calibri"/>
        </w:rPr>
        <w:t>24.</w:t>
      </w:r>
      <w:r w:rsidRPr="00A701D7">
        <w:rPr>
          <w:rFonts w:ascii="Calibri"/>
        </w:rPr>
        <w:tab/>
        <w:t xml:space="preserve">Klumpp, S., Zhang, Z. &amp; Hwa, T. Growth Rate-Dependent Global Effects on Gene Expression in Bacteria. </w:t>
      </w:r>
      <w:r w:rsidRPr="00A701D7">
        <w:rPr>
          <w:rFonts w:ascii="Calibri"/>
          <w:i/>
          <w:iCs/>
        </w:rPr>
        <w:t>Cell</w:t>
      </w:r>
      <w:r w:rsidRPr="00A701D7">
        <w:rPr>
          <w:rFonts w:ascii="Calibri"/>
        </w:rPr>
        <w:t xml:space="preserve"> </w:t>
      </w:r>
      <w:r w:rsidRPr="00A701D7">
        <w:rPr>
          <w:rFonts w:ascii="Calibri"/>
          <w:b/>
          <w:bCs/>
        </w:rPr>
        <w:t>139,</w:t>
      </w:r>
      <w:r w:rsidRPr="00A701D7">
        <w:rPr>
          <w:rFonts w:ascii="Calibri"/>
        </w:rPr>
        <w:t xml:space="preserve"> 1366–1375 (2009).</w:t>
      </w:r>
    </w:p>
    <w:p w14:paraId="224738CB" w14:textId="77777777" w:rsidR="00A701D7" w:rsidRPr="00A701D7" w:rsidRDefault="00A701D7" w:rsidP="00A701D7">
      <w:pPr>
        <w:pStyle w:val="Bibliography"/>
        <w:rPr>
          <w:rFonts w:ascii="Calibri"/>
        </w:rPr>
      </w:pPr>
      <w:r w:rsidRPr="00A701D7">
        <w:rPr>
          <w:rFonts w:ascii="Calibri"/>
        </w:rPr>
        <w:lastRenderedPageBreak/>
        <w:t>25.</w:t>
      </w:r>
      <w:r w:rsidRPr="00A701D7">
        <w:rPr>
          <w:rFonts w:ascii="Calibri"/>
        </w:rPr>
        <w:tab/>
        <w:t xml:space="preserve">Taniguchi, Y. </w:t>
      </w:r>
      <w:r w:rsidRPr="00A701D7">
        <w:rPr>
          <w:rFonts w:ascii="Calibri"/>
          <w:i/>
          <w:iCs/>
        </w:rPr>
        <w:t>et al.</w:t>
      </w:r>
      <w:r w:rsidRPr="00A701D7">
        <w:rPr>
          <w:rFonts w:ascii="Calibri"/>
        </w:rPr>
        <w:t xml:space="preserve"> Quantifying E. coli Proteome and Transcriptome with Single-Molecule Sensitivity in Single Cells. </w:t>
      </w:r>
      <w:r w:rsidRPr="00A701D7">
        <w:rPr>
          <w:rFonts w:ascii="Calibri"/>
          <w:i/>
          <w:iCs/>
        </w:rPr>
        <w:t>Science</w:t>
      </w:r>
      <w:r w:rsidRPr="00A701D7">
        <w:rPr>
          <w:rFonts w:ascii="Calibri"/>
        </w:rPr>
        <w:t xml:space="preserve"> </w:t>
      </w:r>
      <w:r w:rsidRPr="00A701D7">
        <w:rPr>
          <w:rFonts w:ascii="Calibri"/>
          <w:b/>
          <w:bCs/>
        </w:rPr>
        <w:t>329,</w:t>
      </w:r>
      <w:r w:rsidRPr="00A701D7">
        <w:rPr>
          <w:rFonts w:ascii="Calibri"/>
        </w:rPr>
        <w:t xml:space="preserve"> 533–538 (2010).</w:t>
      </w:r>
    </w:p>
    <w:p w14:paraId="215A80D1" w14:textId="77777777" w:rsidR="00A701D7" w:rsidRPr="00A701D7" w:rsidRDefault="00A701D7" w:rsidP="00A701D7">
      <w:pPr>
        <w:pStyle w:val="Bibliography"/>
        <w:rPr>
          <w:rFonts w:ascii="Calibri"/>
        </w:rPr>
      </w:pPr>
      <w:r w:rsidRPr="00A701D7">
        <w:rPr>
          <w:rFonts w:ascii="Calibri"/>
        </w:rPr>
        <w:t>26.</w:t>
      </w:r>
      <w:r w:rsidRPr="00A701D7">
        <w:rPr>
          <w:rFonts w:ascii="Calibri"/>
        </w:rPr>
        <w:tab/>
        <w:t xml:space="preserve">Bar-Even, A. </w:t>
      </w:r>
      <w:r w:rsidRPr="00A701D7">
        <w:rPr>
          <w:rFonts w:ascii="Calibri"/>
          <w:i/>
          <w:iCs/>
        </w:rPr>
        <w:t>et al.</w:t>
      </w:r>
      <w:r w:rsidRPr="00A701D7">
        <w:rPr>
          <w:rFonts w:ascii="Calibri"/>
        </w:rPr>
        <w:t xml:space="preserve"> Noise in protein expression scales with natural protein abundance. </w:t>
      </w:r>
      <w:r w:rsidRPr="00A701D7">
        <w:rPr>
          <w:rFonts w:ascii="Calibri"/>
          <w:i/>
          <w:iCs/>
        </w:rPr>
        <w:t>Nat. Genet.</w:t>
      </w:r>
      <w:r w:rsidRPr="00A701D7">
        <w:rPr>
          <w:rFonts w:ascii="Calibri"/>
        </w:rPr>
        <w:t xml:space="preserve"> </w:t>
      </w:r>
      <w:r w:rsidRPr="00A701D7">
        <w:rPr>
          <w:rFonts w:ascii="Calibri"/>
          <w:b/>
          <w:bCs/>
        </w:rPr>
        <w:t>38,</w:t>
      </w:r>
      <w:r w:rsidRPr="00A701D7">
        <w:rPr>
          <w:rFonts w:ascii="Calibri"/>
        </w:rPr>
        <w:t xml:space="preserve"> 636–643 (2006).</w:t>
      </w:r>
    </w:p>
    <w:p w14:paraId="280C86D4" w14:textId="77777777" w:rsidR="00A701D7" w:rsidRPr="00A701D7" w:rsidRDefault="00A701D7" w:rsidP="00A701D7">
      <w:pPr>
        <w:pStyle w:val="Bibliography"/>
        <w:rPr>
          <w:rFonts w:ascii="Calibri"/>
        </w:rPr>
      </w:pPr>
      <w:r w:rsidRPr="00A701D7">
        <w:rPr>
          <w:rFonts w:ascii="Calibri"/>
        </w:rPr>
        <w:t>27.</w:t>
      </w:r>
      <w:r w:rsidRPr="00A701D7">
        <w:rPr>
          <w:rFonts w:ascii="Calibri"/>
        </w:rPr>
        <w:tab/>
        <w:t xml:space="preserve">Sokal, R. R. &amp; Rohlf, F. J. The Comparison of Dendrograms by Objective Methods. </w:t>
      </w:r>
      <w:r w:rsidRPr="00A701D7">
        <w:rPr>
          <w:rFonts w:ascii="Calibri"/>
          <w:i/>
          <w:iCs/>
        </w:rPr>
        <w:t>Taxon</w:t>
      </w:r>
      <w:r w:rsidRPr="00A701D7">
        <w:rPr>
          <w:rFonts w:ascii="Calibri"/>
        </w:rPr>
        <w:t xml:space="preserve"> </w:t>
      </w:r>
      <w:r w:rsidRPr="00A701D7">
        <w:rPr>
          <w:rFonts w:ascii="Calibri"/>
          <w:b/>
          <w:bCs/>
        </w:rPr>
        <w:t>11,</w:t>
      </w:r>
      <w:r w:rsidRPr="00A701D7">
        <w:rPr>
          <w:rFonts w:ascii="Calibri"/>
        </w:rPr>
        <w:t xml:space="preserve"> 33–40 (1962).</w:t>
      </w:r>
    </w:p>
    <w:p w14:paraId="039D2FA3" w14:textId="77777777" w:rsidR="00A701D7" w:rsidRPr="00A701D7" w:rsidRDefault="00A701D7" w:rsidP="00A701D7">
      <w:pPr>
        <w:pStyle w:val="Bibliography"/>
        <w:rPr>
          <w:rFonts w:ascii="Calibri"/>
        </w:rPr>
      </w:pPr>
      <w:r w:rsidRPr="00A701D7">
        <w:rPr>
          <w:rFonts w:ascii="Calibri"/>
        </w:rPr>
        <w:t>28.</w:t>
      </w:r>
      <w:r w:rsidRPr="00A701D7">
        <w:rPr>
          <w:rFonts w:ascii="Calibri"/>
        </w:rPr>
        <w:tab/>
        <w:t xml:space="preserve">Gan, G., Ma, C. &amp; Wu, J. </w:t>
      </w:r>
      <w:r w:rsidRPr="00A701D7">
        <w:rPr>
          <w:rFonts w:ascii="Calibri"/>
          <w:i/>
          <w:iCs/>
        </w:rPr>
        <w:t>Data Clustering: Theory, Algorithms, and Applications</w:t>
      </w:r>
      <w:r w:rsidRPr="00A701D7">
        <w:rPr>
          <w:rFonts w:ascii="Calibri"/>
        </w:rPr>
        <w:t>. (SIAM, 2007).</w:t>
      </w:r>
    </w:p>
    <w:p w14:paraId="403931AB" w14:textId="77777777" w:rsidR="00A701D7" w:rsidRPr="00A701D7" w:rsidRDefault="00A701D7" w:rsidP="00A701D7">
      <w:pPr>
        <w:pStyle w:val="Bibliography"/>
        <w:rPr>
          <w:rFonts w:ascii="Calibri"/>
        </w:rPr>
      </w:pPr>
      <w:r w:rsidRPr="00A701D7">
        <w:rPr>
          <w:rFonts w:ascii="Calibri"/>
        </w:rPr>
        <w:t>29.</w:t>
      </w:r>
      <w:r w:rsidRPr="00A701D7">
        <w:rPr>
          <w:rFonts w:ascii="Calibri"/>
        </w:rPr>
        <w:tab/>
        <w:t xml:space="preserve">Schmidt, A. </w:t>
      </w:r>
      <w:r w:rsidRPr="00A701D7">
        <w:rPr>
          <w:rFonts w:ascii="Calibri"/>
          <w:i/>
          <w:iCs/>
        </w:rPr>
        <w:t>et al.</w:t>
      </w:r>
      <w:r w:rsidRPr="00A701D7">
        <w:rPr>
          <w:rFonts w:ascii="Calibri"/>
        </w:rPr>
        <w:t xml:space="preserve"> The quantitative and condition-dependent Escherichia coli proteome. </w:t>
      </w:r>
      <w:r w:rsidRPr="00A701D7">
        <w:rPr>
          <w:rFonts w:ascii="Calibri"/>
          <w:i/>
          <w:iCs/>
        </w:rPr>
        <w:t>Nat. Biotechnol.</w:t>
      </w:r>
      <w:r w:rsidRPr="00A701D7">
        <w:rPr>
          <w:rFonts w:ascii="Calibri"/>
        </w:rPr>
        <w:t xml:space="preserve"> </w:t>
      </w:r>
      <w:r w:rsidRPr="00A701D7">
        <w:rPr>
          <w:rFonts w:ascii="Calibri"/>
          <w:b/>
          <w:bCs/>
        </w:rPr>
        <w:t>34,</w:t>
      </w:r>
      <w:r w:rsidRPr="00A701D7">
        <w:rPr>
          <w:rFonts w:ascii="Calibri"/>
        </w:rPr>
        <w:t xml:space="preserve"> 104–110 (2016).</w:t>
      </w:r>
    </w:p>
    <w:p w14:paraId="6D334276" w14:textId="77777777" w:rsidR="00A701D7" w:rsidRPr="00A701D7" w:rsidRDefault="00A701D7" w:rsidP="00A701D7">
      <w:pPr>
        <w:pStyle w:val="Bibliography"/>
        <w:rPr>
          <w:rFonts w:ascii="Calibri"/>
        </w:rPr>
      </w:pPr>
      <w:r w:rsidRPr="00A701D7">
        <w:rPr>
          <w:rFonts w:ascii="Calibri"/>
        </w:rPr>
        <w:t>30.</w:t>
      </w:r>
      <w:r w:rsidRPr="00A701D7">
        <w:rPr>
          <w:rFonts w:ascii="Calibri"/>
        </w:rPr>
        <w:tab/>
        <w:t xml:space="preserve">Soufi, B., Krug, K., Harst, A. &amp; Macek, B. Characterization of the E. coli proteome and its modifications during growth and ethanol stress. </w:t>
      </w:r>
      <w:r w:rsidRPr="00A701D7">
        <w:rPr>
          <w:rFonts w:ascii="Calibri"/>
          <w:i/>
          <w:iCs/>
        </w:rPr>
        <w:t>Front. Microbiol.</w:t>
      </w:r>
      <w:r w:rsidRPr="00A701D7">
        <w:rPr>
          <w:rFonts w:ascii="Calibri"/>
        </w:rPr>
        <w:t xml:space="preserve"> </w:t>
      </w:r>
      <w:r w:rsidRPr="00A701D7">
        <w:rPr>
          <w:rFonts w:ascii="Calibri"/>
          <w:b/>
          <w:bCs/>
        </w:rPr>
        <w:t>6,</w:t>
      </w:r>
      <w:r w:rsidRPr="00A701D7">
        <w:rPr>
          <w:rFonts w:ascii="Calibri"/>
        </w:rPr>
        <w:t xml:space="preserve"> 103 (2015).</w:t>
      </w:r>
    </w:p>
    <w:p w14:paraId="6289A4CC" w14:textId="77777777" w:rsidR="00A701D7" w:rsidRPr="00A701D7" w:rsidRDefault="00A701D7" w:rsidP="00A701D7">
      <w:pPr>
        <w:pStyle w:val="Bibliography"/>
        <w:rPr>
          <w:rFonts w:ascii="Calibri"/>
        </w:rPr>
      </w:pPr>
      <w:r w:rsidRPr="00A701D7">
        <w:rPr>
          <w:rFonts w:ascii="Calibri"/>
        </w:rPr>
        <w:t>31.</w:t>
      </w:r>
      <w:r w:rsidRPr="00A701D7">
        <w:rPr>
          <w:rFonts w:ascii="Calibri"/>
        </w:rPr>
        <w:tab/>
        <w:t xml:space="preserve">Lewis, N. E., Cho, B.-K., Knight, E. M. &amp; Palsson, B. O. Gene Expression Profiling and the Use of Genome-Scale In Silico Models of Escherichia coli for Analysis: Providing Context for Content. </w:t>
      </w:r>
      <w:r w:rsidRPr="00A701D7">
        <w:rPr>
          <w:rFonts w:ascii="Calibri"/>
          <w:i/>
          <w:iCs/>
        </w:rPr>
        <w:t>J. Bacteriol.</w:t>
      </w:r>
      <w:r w:rsidRPr="00A701D7">
        <w:rPr>
          <w:rFonts w:ascii="Calibri"/>
        </w:rPr>
        <w:t xml:space="preserve"> </w:t>
      </w:r>
      <w:r w:rsidRPr="00A701D7">
        <w:rPr>
          <w:rFonts w:ascii="Calibri"/>
          <w:b/>
          <w:bCs/>
        </w:rPr>
        <w:t>191,</w:t>
      </w:r>
      <w:r w:rsidRPr="00A701D7">
        <w:rPr>
          <w:rFonts w:ascii="Calibri"/>
        </w:rPr>
        <w:t xml:space="preserve"> 3437–3444 (2009).</w:t>
      </w:r>
    </w:p>
    <w:p w14:paraId="558410BB" w14:textId="77777777" w:rsidR="00A701D7" w:rsidRPr="00A701D7" w:rsidRDefault="00A701D7" w:rsidP="00A701D7">
      <w:pPr>
        <w:pStyle w:val="Bibliography"/>
        <w:rPr>
          <w:rFonts w:ascii="Calibri"/>
        </w:rPr>
      </w:pPr>
      <w:r w:rsidRPr="00A701D7">
        <w:rPr>
          <w:rFonts w:ascii="Calibri"/>
        </w:rPr>
        <w:t>32.</w:t>
      </w:r>
      <w:r w:rsidRPr="00A701D7">
        <w:rPr>
          <w:rFonts w:ascii="Calibri"/>
        </w:rPr>
        <w:tab/>
        <w:t xml:space="preserve">Yoon, S. H. </w:t>
      </w:r>
      <w:r w:rsidRPr="00A701D7">
        <w:rPr>
          <w:rFonts w:ascii="Calibri"/>
          <w:i/>
          <w:iCs/>
        </w:rPr>
        <w:t>et al.</w:t>
      </w:r>
      <w:r w:rsidRPr="00A701D7">
        <w:rPr>
          <w:rFonts w:ascii="Calibri"/>
        </w:rPr>
        <w:t xml:space="preserve"> Comparative multi-omics systems analysis of Escherichia coli strains B and K-12. </w:t>
      </w:r>
      <w:r w:rsidRPr="00A701D7">
        <w:rPr>
          <w:rFonts w:ascii="Calibri"/>
          <w:i/>
          <w:iCs/>
        </w:rPr>
        <w:t>Genome Biol.</w:t>
      </w:r>
      <w:r w:rsidRPr="00A701D7">
        <w:rPr>
          <w:rFonts w:ascii="Calibri"/>
        </w:rPr>
        <w:t xml:space="preserve"> </w:t>
      </w:r>
      <w:r w:rsidRPr="00A701D7">
        <w:rPr>
          <w:rFonts w:ascii="Calibri"/>
          <w:b/>
          <w:bCs/>
        </w:rPr>
        <w:t>13,</w:t>
      </w:r>
      <w:r w:rsidRPr="00A701D7">
        <w:rPr>
          <w:rFonts w:ascii="Calibri"/>
        </w:rPr>
        <w:t xml:space="preserve"> R37 (2012).</w:t>
      </w:r>
    </w:p>
    <w:p w14:paraId="4682C1FB" w14:textId="77777777" w:rsidR="00A701D7" w:rsidRPr="00A701D7" w:rsidRDefault="00A701D7" w:rsidP="00A701D7">
      <w:pPr>
        <w:pStyle w:val="Bibliography"/>
        <w:rPr>
          <w:rFonts w:ascii="Calibri"/>
        </w:rPr>
      </w:pPr>
      <w:r w:rsidRPr="00A701D7">
        <w:rPr>
          <w:rFonts w:ascii="Calibri"/>
        </w:rPr>
        <w:t>33.</w:t>
      </w:r>
      <w:r w:rsidRPr="00A701D7">
        <w:rPr>
          <w:rFonts w:ascii="Calibri"/>
        </w:rPr>
        <w:tab/>
        <w:t xml:space="preserve">Batista, G. E. A. P. A., Prati, R. C. &amp; Monard, M. C. A Study of the Behavior of Several Methods for Balancing Machine Learning Training Data. </w:t>
      </w:r>
      <w:r w:rsidRPr="00A701D7">
        <w:rPr>
          <w:rFonts w:ascii="Calibri"/>
          <w:i/>
          <w:iCs/>
        </w:rPr>
        <w:t>SIGKDD Explor Newsl</w:t>
      </w:r>
      <w:r w:rsidRPr="00A701D7">
        <w:rPr>
          <w:rFonts w:ascii="Calibri"/>
        </w:rPr>
        <w:t xml:space="preserve"> </w:t>
      </w:r>
      <w:r w:rsidRPr="00A701D7">
        <w:rPr>
          <w:rFonts w:ascii="Calibri"/>
          <w:b/>
          <w:bCs/>
        </w:rPr>
        <w:t>6,</w:t>
      </w:r>
      <w:r w:rsidRPr="00A701D7">
        <w:rPr>
          <w:rFonts w:ascii="Calibri"/>
        </w:rPr>
        <w:t xml:space="preserve"> 20–29 (2004).</w:t>
      </w:r>
    </w:p>
    <w:p w14:paraId="2158912D" w14:textId="77777777" w:rsidR="00A701D7" w:rsidRPr="00A701D7" w:rsidRDefault="00A701D7" w:rsidP="00A701D7">
      <w:pPr>
        <w:pStyle w:val="Bibliography"/>
        <w:rPr>
          <w:rFonts w:ascii="Calibri"/>
        </w:rPr>
      </w:pPr>
      <w:r w:rsidRPr="00A701D7">
        <w:rPr>
          <w:rFonts w:ascii="Calibri"/>
        </w:rPr>
        <w:t>34.</w:t>
      </w:r>
      <w:r w:rsidRPr="00A701D7">
        <w:rPr>
          <w:rFonts w:ascii="Calibri"/>
        </w:rPr>
        <w:tab/>
        <w:t xml:space="preserve">Chawla, N. V. in </w:t>
      </w:r>
      <w:r w:rsidRPr="00A701D7">
        <w:rPr>
          <w:rFonts w:ascii="Calibri"/>
          <w:i/>
          <w:iCs/>
        </w:rPr>
        <w:t>Data Mining and Knowledge Discovery Handbook</w:t>
      </w:r>
      <w:r w:rsidRPr="00A701D7">
        <w:rPr>
          <w:rFonts w:ascii="Calibri"/>
        </w:rPr>
        <w:t xml:space="preserve"> (eds. Maimon, O. &amp; Rokach, L.) 853–867 (Springer US, 2005). doi:10.1007/0-387-25465-X_40</w:t>
      </w:r>
    </w:p>
    <w:p w14:paraId="5DC640C4" w14:textId="77777777" w:rsidR="00A701D7" w:rsidRPr="00A701D7" w:rsidRDefault="00A701D7" w:rsidP="00A701D7">
      <w:pPr>
        <w:pStyle w:val="Bibliography"/>
        <w:rPr>
          <w:rFonts w:ascii="Calibri"/>
        </w:rPr>
      </w:pPr>
      <w:r w:rsidRPr="00A701D7">
        <w:rPr>
          <w:rFonts w:ascii="Calibri"/>
        </w:rPr>
        <w:t>35.</w:t>
      </w:r>
      <w:r w:rsidRPr="00A701D7">
        <w:rPr>
          <w:rFonts w:ascii="Calibri"/>
        </w:rPr>
        <w:tab/>
        <w:t xml:space="preserve">He, H. &amp; Garcia, E. A. Learning from Imbalanced Data. </w:t>
      </w:r>
      <w:r w:rsidRPr="00A701D7">
        <w:rPr>
          <w:rFonts w:ascii="Calibri"/>
          <w:i/>
          <w:iCs/>
        </w:rPr>
        <w:t>IEEE Trans. Knowl. Data Eng.</w:t>
      </w:r>
      <w:r w:rsidRPr="00A701D7">
        <w:rPr>
          <w:rFonts w:ascii="Calibri"/>
        </w:rPr>
        <w:t xml:space="preserve"> </w:t>
      </w:r>
      <w:r w:rsidRPr="00A701D7">
        <w:rPr>
          <w:rFonts w:ascii="Calibri"/>
          <w:b/>
          <w:bCs/>
        </w:rPr>
        <w:t>21,</w:t>
      </w:r>
      <w:r w:rsidRPr="00A701D7">
        <w:rPr>
          <w:rFonts w:ascii="Calibri"/>
        </w:rPr>
        <w:t xml:space="preserve"> 1263–1284 (2009).</w:t>
      </w:r>
    </w:p>
    <w:p w14:paraId="19AF7BBE" w14:textId="77777777" w:rsidR="00A701D7" w:rsidRPr="00A701D7" w:rsidRDefault="00A701D7" w:rsidP="00A701D7">
      <w:pPr>
        <w:pStyle w:val="Bibliography"/>
        <w:rPr>
          <w:rFonts w:ascii="Calibri"/>
        </w:rPr>
      </w:pPr>
      <w:r w:rsidRPr="00A701D7">
        <w:rPr>
          <w:rFonts w:ascii="Calibri"/>
        </w:rPr>
        <w:lastRenderedPageBreak/>
        <w:t>36.</w:t>
      </w:r>
      <w:r w:rsidRPr="00A701D7">
        <w:rPr>
          <w:rFonts w:ascii="Calibri"/>
        </w:rPr>
        <w:tab/>
        <w:t xml:space="preserve">Huang, Y.-M. &amp; Du, S.-X. Weighted support vector machine for classification with uneven training class sizes. in </w:t>
      </w:r>
      <w:r w:rsidRPr="00A701D7">
        <w:rPr>
          <w:rFonts w:ascii="Calibri"/>
          <w:i/>
          <w:iCs/>
        </w:rPr>
        <w:t>2005 International Conference on Machine Learning and Cybernetics</w:t>
      </w:r>
      <w:r w:rsidRPr="00A701D7">
        <w:rPr>
          <w:rFonts w:ascii="Calibri"/>
        </w:rPr>
        <w:t xml:space="preserve"> </w:t>
      </w:r>
      <w:r w:rsidRPr="00A701D7">
        <w:rPr>
          <w:rFonts w:ascii="Calibri"/>
          <w:b/>
          <w:bCs/>
        </w:rPr>
        <w:t>7,</w:t>
      </w:r>
      <w:r w:rsidRPr="00A701D7">
        <w:rPr>
          <w:rFonts w:ascii="Calibri"/>
        </w:rPr>
        <w:t xml:space="preserve"> 4365–4369 Vol. 7 (2005).</w:t>
      </w:r>
    </w:p>
    <w:p w14:paraId="7C2AE802" w14:textId="77777777" w:rsidR="00A701D7" w:rsidRPr="00A701D7" w:rsidRDefault="00A701D7" w:rsidP="00A701D7">
      <w:pPr>
        <w:pStyle w:val="Bibliography"/>
        <w:rPr>
          <w:rFonts w:ascii="Calibri"/>
        </w:rPr>
      </w:pPr>
      <w:r w:rsidRPr="00A701D7">
        <w:rPr>
          <w:rFonts w:ascii="Calibri"/>
        </w:rPr>
        <w:t>37.</w:t>
      </w:r>
      <w:r w:rsidRPr="00A701D7">
        <w:rPr>
          <w:rFonts w:ascii="Calibri"/>
        </w:rPr>
        <w:tab/>
        <w:t>Support Vector Machines. Available at: http://www.di.fc.ul.pt/~jpn/r/svm/svm.html. (Accessed: 24th April 2017)</w:t>
      </w:r>
    </w:p>
    <w:p w14:paraId="15139994" w14:textId="77777777" w:rsidR="00A701D7" w:rsidRPr="00A701D7" w:rsidRDefault="00A701D7" w:rsidP="00A701D7">
      <w:pPr>
        <w:pStyle w:val="Bibliography"/>
        <w:rPr>
          <w:rFonts w:ascii="Calibri"/>
        </w:rPr>
      </w:pPr>
      <w:r w:rsidRPr="00A701D7">
        <w:rPr>
          <w:rFonts w:ascii="Calibri"/>
        </w:rPr>
        <w:t>38.</w:t>
      </w:r>
      <w:r w:rsidRPr="00A701D7">
        <w:rPr>
          <w:rFonts w:ascii="Calibri"/>
        </w:rPr>
        <w:tab/>
        <w:t xml:space="preserve">Yang, Y. An Evaluation of Statistical Approaches to Text Categorization. </w:t>
      </w:r>
      <w:r w:rsidRPr="00A701D7">
        <w:rPr>
          <w:rFonts w:ascii="Calibri"/>
          <w:i/>
          <w:iCs/>
        </w:rPr>
        <w:t>Inf. Retr.</w:t>
      </w:r>
      <w:r w:rsidRPr="00A701D7">
        <w:rPr>
          <w:rFonts w:ascii="Calibri"/>
        </w:rPr>
        <w:t xml:space="preserve"> </w:t>
      </w:r>
      <w:r w:rsidRPr="00A701D7">
        <w:rPr>
          <w:rFonts w:ascii="Calibri"/>
          <w:b/>
          <w:bCs/>
        </w:rPr>
        <w:t>1,</w:t>
      </w:r>
      <w:r w:rsidRPr="00A701D7">
        <w:rPr>
          <w:rFonts w:ascii="Calibri"/>
        </w:rPr>
        <w:t xml:space="preserve"> 69–90 (1999).</w:t>
      </w:r>
    </w:p>
    <w:p w14:paraId="2BF77831" w14:textId="77777777" w:rsidR="00A701D7" w:rsidRPr="00A701D7" w:rsidRDefault="00A701D7" w:rsidP="00A701D7">
      <w:pPr>
        <w:pStyle w:val="Bibliography"/>
        <w:rPr>
          <w:rFonts w:ascii="Calibri"/>
        </w:rPr>
      </w:pPr>
      <w:r w:rsidRPr="00A701D7">
        <w:rPr>
          <w:rFonts w:ascii="Calibri"/>
        </w:rPr>
        <w:t>39.</w:t>
      </w:r>
      <w:r w:rsidRPr="00A701D7">
        <w:rPr>
          <w:rFonts w:ascii="Calibri"/>
        </w:rPr>
        <w:tab/>
        <w:t xml:space="preserve">Anders, S. &amp; Huber, W. Differential expression analysis for sequence count data. </w:t>
      </w:r>
      <w:r w:rsidRPr="00A701D7">
        <w:rPr>
          <w:rFonts w:ascii="Calibri"/>
          <w:i/>
          <w:iCs/>
        </w:rPr>
        <w:t>Genome Biol.</w:t>
      </w:r>
      <w:r w:rsidRPr="00A701D7">
        <w:rPr>
          <w:rFonts w:ascii="Calibri"/>
        </w:rPr>
        <w:t xml:space="preserve"> </w:t>
      </w:r>
      <w:r w:rsidRPr="00A701D7">
        <w:rPr>
          <w:rFonts w:ascii="Calibri"/>
          <w:b/>
          <w:bCs/>
        </w:rPr>
        <w:t>11,</w:t>
      </w:r>
      <w:r w:rsidRPr="00A701D7">
        <w:rPr>
          <w:rFonts w:ascii="Calibri"/>
        </w:rPr>
        <w:t xml:space="preserve"> R106 (2010).</w:t>
      </w:r>
    </w:p>
    <w:p w14:paraId="4FCAB6D5" w14:textId="77777777" w:rsidR="00A701D7" w:rsidRPr="00A701D7" w:rsidRDefault="00A701D7" w:rsidP="00A701D7">
      <w:pPr>
        <w:pStyle w:val="Bibliography"/>
        <w:rPr>
          <w:rFonts w:ascii="Calibri"/>
        </w:rPr>
      </w:pPr>
      <w:r w:rsidRPr="00A701D7">
        <w:rPr>
          <w:rFonts w:ascii="Calibri"/>
        </w:rPr>
        <w:t>40.</w:t>
      </w:r>
      <w:r w:rsidRPr="00A701D7">
        <w:rPr>
          <w:rFonts w:ascii="Calibri"/>
        </w:rPr>
        <w:tab/>
        <w:t xml:space="preserve">Chang, C.-C. &amp; Lin, C.-J. LIBSVM: A Library for Support Vector Machines. </w:t>
      </w:r>
      <w:r w:rsidRPr="00A701D7">
        <w:rPr>
          <w:rFonts w:ascii="Calibri"/>
          <w:i/>
          <w:iCs/>
        </w:rPr>
        <w:t>ACM Trans Intell Syst Technol</w:t>
      </w:r>
      <w:r w:rsidRPr="00A701D7">
        <w:rPr>
          <w:rFonts w:ascii="Calibri"/>
        </w:rPr>
        <w:t xml:space="preserve"> </w:t>
      </w:r>
      <w:r w:rsidRPr="00A701D7">
        <w:rPr>
          <w:rFonts w:ascii="Calibri"/>
          <w:b/>
          <w:bCs/>
        </w:rPr>
        <w:t>2,</w:t>
      </w:r>
      <w:r w:rsidRPr="00A701D7">
        <w:rPr>
          <w:rFonts w:ascii="Calibri"/>
        </w:rPr>
        <w:t xml:space="preserve"> 27:1–27:27 (2011).</w:t>
      </w:r>
    </w:p>
    <w:p w14:paraId="2ED4EAB6" w14:textId="77777777" w:rsidR="00A701D7" w:rsidRPr="00A701D7" w:rsidRDefault="00A701D7" w:rsidP="00A701D7">
      <w:pPr>
        <w:pStyle w:val="Bibliography"/>
        <w:rPr>
          <w:rFonts w:ascii="Calibri"/>
        </w:rPr>
      </w:pPr>
      <w:r w:rsidRPr="00A701D7">
        <w:rPr>
          <w:rFonts w:ascii="Calibri"/>
        </w:rPr>
        <w:t>41.</w:t>
      </w:r>
      <w:r w:rsidRPr="00A701D7">
        <w:rPr>
          <w:rFonts w:ascii="Calibri"/>
        </w:rPr>
        <w:tab/>
        <w:t xml:space="preserve">Ghamrawi, N. &amp; McCallum, A. Collective Multi-label Classification. in </w:t>
      </w:r>
      <w:r w:rsidRPr="00A701D7">
        <w:rPr>
          <w:rFonts w:ascii="Calibri"/>
          <w:i/>
          <w:iCs/>
        </w:rPr>
        <w:t>Proceedings of the 14th ACM International Conference on Information and Knowledge Management</w:t>
      </w:r>
      <w:r w:rsidRPr="00A701D7">
        <w:rPr>
          <w:rFonts w:ascii="Calibri"/>
        </w:rPr>
        <w:t xml:space="preserve"> 195–200 (ACM, 2005). doi:10.1145/1099554.1099591</w:t>
      </w:r>
    </w:p>
    <w:p w14:paraId="14992F45" w14:textId="544F2E96"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lastRenderedPageBreak/>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A21FD" w14:textId="77777777" w:rsidR="0007693A" w:rsidRDefault="0007693A" w:rsidP="00522EEC">
      <w:r>
        <w:separator/>
      </w:r>
    </w:p>
  </w:endnote>
  <w:endnote w:type="continuationSeparator" w:id="0">
    <w:p w14:paraId="3EB1F90C" w14:textId="77777777" w:rsidR="0007693A" w:rsidRDefault="0007693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64DB">
      <w:rPr>
        <w:rStyle w:val="PageNumber"/>
        <w:noProof/>
      </w:rPr>
      <w:t>7</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7C088" w14:textId="77777777" w:rsidR="0007693A" w:rsidRDefault="0007693A" w:rsidP="00522EEC">
      <w:r>
        <w:separator/>
      </w:r>
    </w:p>
  </w:footnote>
  <w:footnote w:type="continuationSeparator" w:id="0">
    <w:p w14:paraId="35E0164A" w14:textId="77777777" w:rsidR="0007693A" w:rsidRDefault="0007693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5507"/>
    <w:rsid w:val="00085C62"/>
    <w:rsid w:val="0008798A"/>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40F3"/>
    <w:rsid w:val="000A633B"/>
    <w:rsid w:val="000A7AC3"/>
    <w:rsid w:val="000B162D"/>
    <w:rsid w:val="000B2CC7"/>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034"/>
    <w:rsid w:val="0014521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4BE0"/>
    <w:rsid w:val="00195CF8"/>
    <w:rsid w:val="00195F58"/>
    <w:rsid w:val="0019638C"/>
    <w:rsid w:val="00196B75"/>
    <w:rsid w:val="001A087C"/>
    <w:rsid w:val="001A2BE7"/>
    <w:rsid w:val="001A3CEB"/>
    <w:rsid w:val="001B0458"/>
    <w:rsid w:val="001B146F"/>
    <w:rsid w:val="001B1A87"/>
    <w:rsid w:val="001B1A8D"/>
    <w:rsid w:val="001B1B6F"/>
    <w:rsid w:val="001B6AE3"/>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1376A"/>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42D7"/>
    <w:rsid w:val="002461AB"/>
    <w:rsid w:val="00250B94"/>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4B2"/>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774"/>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1CF"/>
    <w:rsid w:val="003367F9"/>
    <w:rsid w:val="0033763B"/>
    <w:rsid w:val="00340860"/>
    <w:rsid w:val="00341FB1"/>
    <w:rsid w:val="00345DA5"/>
    <w:rsid w:val="00346136"/>
    <w:rsid w:val="003472A0"/>
    <w:rsid w:val="0035006B"/>
    <w:rsid w:val="00350671"/>
    <w:rsid w:val="00351002"/>
    <w:rsid w:val="00352962"/>
    <w:rsid w:val="00353D4F"/>
    <w:rsid w:val="00355624"/>
    <w:rsid w:val="0035656A"/>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29B3"/>
    <w:rsid w:val="003D3736"/>
    <w:rsid w:val="003D76B4"/>
    <w:rsid w:val="003E171B"/>
    <w:rsid w:val="003E3019"/>
    <w:rsid w:val="003E404F"/>
    <w:rsid w:val="003E4218"/>
    <w:rsid w:val="003E56A5"/>
    <w:rsid w:val="003E5878"/>
    <w:rsid w:val="003E736E"/>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204F"/>
    <w:rsid w:val="004C3466"/>
    <w:rsid w:val="004C34A6"/>
    <w:rsid w:val="004C41BE"/>
    <w:rsid w:val="004C4A78"/>
    <w:rsid w:val="004C4BCC"/>
    <w:rsid w:val="004C5BF9"/>
    <w:rsid w:val="004C5D3B"/>
    <w:rsid w:val="004C645B"/>
    <w:rsid w:val="004C66AC"/>
    <w:rsid w:val="004D00C9"/>
    <w:rsid w:val="004D05E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AEB"/>
    <w:rsid w:val="00752B24"/>
    <w:rsid w:val="00752E78"/>
    <w:rsid w:val="00753EF7"/>
    <w:rsid w:val="007549FD"/>
    <w:rsid w:val="0075579B"/>
    <w:rsid w:val="007568A4"/>
    <w:rsid w:val="007570B2"/>
    <w:rsid w:val="0076036C"/>
    <w:rsid w:val="0076152F"/>
    <w:rsid w:val="00763301"/>
    <w:rsid w:val="00764E19"/>
    <w:rsid w:val="0076526D"/>
    <w:rsid w:val="0076555F"/>
    <w:rsid w:val="007675B4"/>
    <w:rsid w:val="00767B01"/>
    <w:rsid w:val="00767E78"/>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4EC"/>
    <w:rsid w:val="0084493A"/>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31F"/>
    <w:rsid w:val="00936426"/>
    <w:rsid w:val="009404FC"/>
    <w:rsid w:val="00943B10"/>
    <w:rsid w:val="00944057"/>
    <w:rsid w:val="00945884"/>
    <w:rsid w:val="009473E8"/>
    <w:rsid w:val="009517B1"/>
    <w:rsid w:val="00955C39"/>
    <w:rsid w:val="00956F36"/>
    <w:rsid w:val="00957C26"/>
    <w:rsid w:val="009612C0"/>
    <w:rsid w:val="00964F22"/>
    <w:rsid w:val="00966D05"/>
    <w:rsid w:val="009675D5"/>
    <w:rsid w:val="009704B5"/>
    <w:rsid w:val="00973014"/>
    <w:rsid w:val="00973449"/>
    <w:rsid w:val="00977129"/>
    <w:rsid w:val="009803EA"/>
    <w:rsid w:val="00985D59"/>
    <w:rsid w:val="00990498"/>
    <w:rsid w:val="009907A4"/>
    <w:rsid w:val="0099174B"/>
    <w:rsid w:val="009923DA"/>
    <w:rsid w:val="009924C1"/>
    <w:rsid w:val="00992AB7"/>
    <w:rsid w:val="00994055"/>
    <w:rsid w:val="009953EC"/>
    <w:rsid w:val="00996CAC"/>
    <w:rsid w:val="009A00F3"/>
    <w:rsid w:val="009A20A3"/>
    <w:rsid w:val="009A3703"/>
    <w:rsid w:val="009B0A33"/>
    <w:rsid w:val="009B0CCF"/>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374B"/>
    <w:rsid w:val="009D4A9A"/>
    <w:rsid w:val="009D4F6B"/>
    <w:rsid w:val="009D56DD"/>
    <w:rsid w:val="009D5B90"/>
    <w:rsid w:val="009D6C02"/>
    <w:rsid w:val="009E0C0F"/>
    <w:rsid w:val="009E1177"/>
    <w:rsid w:val="009E12B3"/>
    <w:rsid w:val="009E157A"/>
    <w:rsid w:val="009F2305"/>
    <w:rsid w:val="009F3420"/>
    <w:rsid w:val="009F4A72"/>
    <w:rsid w:val="009F4AAC"/>
    <w:rsid w:val="009F76F8"/>
    <w:rsid w:val="00A0065D"/>
    <w:rsid w:val="00A01B7D"/>
    <w:rsid w:val="00A01EBA"/>
    <w:rsid w:val="00A02EA2"/>
    <w:rsid w:val="00A03EC2"/>
    <w:rsid w:val="00A05C33"/>
    <w:rsid w:val="00A06AD2"/>
    <w:rsid w:val="00A07A5D"/>
    <w:rsid w:val="00A10F0A"/>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E0060"/>
    <w:rsid w:val="00AE1031"/>
    <w:rsid w:val="00AE3110"/>
    <w:rsid w:val="00AE3578"/>
    <w:rsid w:val="00AE4741"/>
    <w:rsid w:val="00AE5400"/>
    <w:rsid w:val="00AE5732"/>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532"/>
    <w:rsid w:val="00B36A4B"/>
    <w:rsid w:val="00B36CCE"/>
    <w:rsid w:val="00B37835"/>
    <w:rsid w:val="00B4269F"/>
    <w:rsid w:val="00B44DC8"/>
    <w:rsid w:val="00B45BFA"/>
    <w:rsid w:val="00B45F0F"/>
    <w:rsid w:val="00B524F7"/>
    <w:rsid w:val="00B5267D"/>
    <w:rsid w:val="00B53684"/>
    <w:rsid w:val="00B553F8"/>
    <w:rsid w:val="00B63DDF"/>
    <w:rsid w:val="00B664DB"/>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E66C6"/>
    <w:rsid w:val="00BF044C"/>
    <w:rsid w:val="00BF1D55"/>
    <w:rsid w:val="00BF4E6A"/>
    <w:rsid w:val="00BF53F6"/>
    <w:rsid w:val="00C02835"/>
    <w:rsid w:val="00C035A6"/>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279FA"/>
    <w:rsid w:val="00C30238"/>
    <w:rsid w:val="00C30676"/>
    <w:rsid w:val="00C31204"/>
    <w:rsid w:val="00C318C0"/>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67A1C"/>
    <w:rsid w:val="00C711F7"/>
    <w:rsid w:val="00C72465"/>
    <w:rsid w:val="00C764A4"/>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8D9"/>
    <w:rsid w:val="00EB3F3D"/>
    <w:rsid w:val="00EB454C"/>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2577"/>
    <w:rsid w:val="00F03A4F"/>
    <w:rsid w:val="00F052B6"/>
    <w:rsid w:val="00F074D6"/>
    <w:rsid w:val="00F12A7F"/>
    <w:rsid w:val="00F12C10"/>
    <w:rsid w:val="00F12E76"/>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2F8E"/>
    <w:rsid w:val="00F549FD"/>
    <w:rsid w:val="00F61E56"/>
    <w:rsid w:val="00F64495"/>
    <w:rsid w:val="00F70712"/>
    <w:rsid w:val="00F76885"/>
    <w:rsid w:val="00F77661"/>
    <w:rsid w:val="00F805B4"/>
    <w:rsid w:val="00F82AC8"/>
    <w:rsid w:val="00F82DEC"/>
    <w:rsid w:val="00F85372"/>
    <w:rsid w:val="00F8621A"/>
    <w:rsid w:val="00F87190"/>
    <w:rsid w:val="00F907AE"/>
    <w:rsid w:val="00F91445"/>
    <w:rsid w:val="00F9451F"/>
    <w:rsid w:val="00F9749E"/>
    <w:rsid w:val="00FA0715"/>
    <w:rsid w:val="00FA16F6"/>
    <w:rsid w:val="00FA188D"/>
    <w:rsid w:val="00FA28A4"/>
    <w:rsid w:val="00FA2A93"/>
    <w:rsid w:val="00FA3817"/>
    <w:rsid w:val="00FA56F0"/>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2C84"/>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s://github.com/umutcaglar/ecoli_multiple_growth_condi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4C97D-648A-9E41-AFB8-24BCBC7A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12</Pages>
  <Words>21195</Words>
  <Characters>120817</Characters>
  <Application>Microsoft Macintosh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173</cp:revision>
  <cp:lastPrinted>2017-04-04T18:08:00Z</cp:lastPrinted>
  <dcterms:created xsi:type="dcterms:W3CDTF">2016-10-25T16:49:00Z</dcterms:created>
  <dcterms:modified xsi:type="dcterms:W3CDTF">2017-04-28T06:14:00Z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id="fZ2YPURU"/&gt;&lt;style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