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 Q1 - Snir Kril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-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tags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lower(TagName) = 'sql'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count(distinct Id) as users_count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u.Id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users as 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left join posts as 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on p.OwnerUserId = u.Id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p.OwnerUserId is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view cc 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p.Id, count(c.Id) as comments_count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posts as 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left join comments as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on p.Id = c.PostId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p.Id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comments_count, count(PostId) as posts_count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select PostId, count(*) as </w:t>
      </w:r>
      <w:r w:rsidDel="00000000" w:rsidR="00000000" w:rsidRPr="00000000">
        <w:rPr>
          <w:rtl w:val="0"/>
        </w:rPr>
        <w:t xml:space="preserve">comments_countֵ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from comments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group by PostId) as cc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comments_count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 by comments_count 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– option 1 - without using the view in 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comments_count, count(PostId) as posts_count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select p.Id, count(c.Id) as comments_count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from posts as 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left join comments as 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on p.Id = c.PostId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group by p.Id) as cw0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comments_count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 by comments_count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– option 2 - it is better because it saves time- using the view from 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comments_count, count(*) as total_posts_count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cc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comments_count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comments_count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v1.PostId, v2.PostId, count(*) as same_users_count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votes as v1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join votes as v2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on v1.UserId = v2.UserId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v1.PostId &lt;&gt; v2.PostId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group by v1.PostId, v2.PostId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having same_users_count &gt; 10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