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none" w:color="auto" w:sz="0"/>
              <w:bottom w:val="none" w:color="auto" w:sz="0"/>
              <w:right w:val="none" w:color="auto" w:sz="0"/>
            </w:tcBorders>
            <w:shd w:fill="1A2744" w:val="clear"/>
            <w:tcMar>
              <w:top w:type="dxa" w:w="440"/>
              <w:left w:type="dxa" w:w="560"/>
              <w:bottom w:type="dxa" w:w="440"/>
              <w:right w:type="dxa" w:w="560"/>
            </w:tcMar>
          </w:tcPr>
          <w:p>
            <w:pPr>
              <w:spacing w:after="80" w:before="0"/>
            </w:pPr>
            <w:r>
              <w:rPr>
                <w:rFonts w:ascii="Calibri" w:cs="Calibri" w:eastAsia="Calibri" w:hAnsi="Calibri"/>
                <w:b/>
                <w:bCs/>
                <w:color w:val="8BAEE8"/>
                <w:spacing w:val="200"/>
                <w:sz w:val="18"/>
                <w:szCs w:val="18"/>
              </w:rPr>
              <w:t xml:space="preserve">ATTRIBIX</w:t>
            </w:r>
          </w:p>
          <w:p>
            <w:pPr>
              <w:spacing w:after="120" w:before="0"/>
            </w:pPr>
            <w:r>
              <w:rPr>
                <w:rFonts w:ascii="Calibri" w:cs="Calibri" w:eastAsia="Calibri" w:hAnsi="Calibri"/>
                <w:b/>
                <w:bCs/>
                <w:color w:val="FFFFFF"/>
                <w:sz w:val="52"/>
                <w:szCs w:val="52"/>
              </w:rPr>
              <w:t xml:space="preserve">Google Ads API Integration</w:t>
            </w:r>
          </w:p>
          <w:p>
            <w:pPr>
              <w:spacing w:after="80" w:before="0"/>
            </w:pPr>
            <w:r>
              <w:rPr>
                <w:rFonts w:ascii="Calibri" w:cs="Calibri" w:eastAsia="Calibri" w:hAnsi="Calibri"/>
                <w:color w:val="B0C4E8"/>
                <w:sz w:val="24"/>
                <w:szCs w:val="24"/>
              </w:rPr>
              <w:t xml:space="preserve">Design Documentation — Basic Access Application</w:t>
            </w:r>
          </w:p>
          <w:p>
            <w:pPr>
              <w:spacing w:after="0" w:before="120"/>
            </w:pPr>
            <w:r>
              <w:rPr>
                <w:rFonts w:ascii="Calibri" w:cs="Calibri" w:eastAsia="Calibri" w:hAnsi="Calibri"/>
                <w:i/>
                <w:iCs/>
                <w:color w:val="7A9BC8"/>
                <w:sz w:val="20"/>
                <w:szCs w:val="20"/>
              </w:rPr>
              <w:t xml:space="preserve">Prepared for Google API review  ·  March 2026</w:t>
            </w:r>
          </w:p>
        </w:tc>
      </w:tr>
    </w:tbl>
    <w:p>
      <w:pPr>
        <w:spacing w:after="80" w:before="240"/>
      </w:pPr>
    </w:p>
    <w:p>
      <w:pPr>
        <w:spacing w:after="100" w:before="320"/>
      </w:pPr>
      <w:r>
        <w:rPr>
          <w:rFonts w:ascii="Calibri" w:cs="Calibri" w:eastAsia="Calibri" w:hAnsi="Calibri"/>
          <w:b/>
          <w:bCs/>
          <w:color w:val="2E6BD6"/>
          <w:sz w:val="26"/>
          <w:szCs w:val="26"/>
        </w:rPr>
        <w:t xml:space="preserve">1. Application Overview</w:t>
      </w:r>
    </w:p>
    <w:p>
      <w:pPr>
        <w:pBdr>
          <w:bottom w:val="single" w:color="D0D8E8" w:sz="6" w:space="1"/>
        </w:pBdr>
        <w:spacing w:after="80" w:before="0"/>
      </w:pPr>
    </w:p>
    <w:p>
      <w:pPr>
        <w:spacing w:after="60" w:before="60"/>
      </w:pPr>
    </w:p>
    <w:p>
      <w:pPr>
        <w:spacing w:after="80" w:before="80"/>
      </w:pPr>
      <w:r>
        <w:rPr>
          <w:rFonts w:ascii="Calibri" w:cs="Calibri" w:eastAsia="Calibri" w:hAnsi="Calibri"/>
          <w:color w:val="1A1A2E"/>
          <w:sz w:val="22"/>
          <w:szCs w:val="22"/>
        </w:rPr>
        <w:t xml:space="preserve">Attribix is a Shopify app that provides attribution analytics for e-commerce store owners. It connects Google Ads and Meta Ads data with Shopify order data to deliver accurate, actionable insights — including ROAS, CPA, and detailed campaign performance — helping merchants understand the true impact of their advertising spend.</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0D8E8" w:sz="4"/>
              <w:left w:val="single" w:color="D0D8E8" w:sz="4"/>
              <w:bottom w:val="single" w:color="D0D8E8" w:sz="4"/>
              <w:right w:val="single" w:color="D0D8E8" w:sz="4"/>
            </w:tcBorders>
            <w:shd w:fill="EEF3FB" w:val="clear"/>
            <w:tcMar>
              <w:top w:type="dxa" w:w="100"/>
              <w:left w:type="dxa" w:w="160"/>
              <w:bottom w:type="dxa" w:w="100"/>
              <w:right w:type="dxa" w:w="160"/>
            </w:tcMar>
            <w:vAlign w:val="center"/>
          </w:tcPr>
          <w:p>
            <w:r>
              <w:rPr>
                <w:rFonts w:ascii="Calibri" w:cs="Calibri" w:eastAsia="Calibri" w:hAnsi="Calibri"/>
                <w:b/>
                <w:bCs/>
                <w:color w:val="1A1A2E"/>
                <w:sz w:val="20"/>
                <w:szCs w:val="20"/>
              </w:rPr>
              <w:t xml:space="preserve">Application</w:t>
            </w:r>
          </w:p>
        </w:tc>
        <w:tc>
          <w:tcPr>
            <w:tcW w:type="dxa" w:w="6840"/>
            <w:tcBorders>
              <w:top w:val="single" w:color="D0D8E8" w:sz="4"/>
              <w:left w:val="single" w:color="D0D8E8" w:sz="4"/>
              <w:bottom w:val="single" w:color="D0D8E8" w:sz="4"/>
              <w:right w:val="single" w:color="D0D8E8" w:sz="4"/>
            </w:tcBorders>
            <w:shd w:fill="EEF3FB" w:val="clear"/>
            <w:tcMar>
              <w:top w:type="dxa" w:w="100"/>
              <w:left w:type="dxa" w:w="160"/>
              <w:bottom w:type="dxa" w:w="100"/>
              <w:right w:type="dxa" w:w="160"/>
            </w:tcMar>
            <w:vAlign w:val="center"/>
          </w:tcPr>
          <w:p>
            <w:r>
              <w:rPr>
                <w:rFonts w:ascii="Calibri" w:cs="Calibri" w:eastAsia="Calibri" w:hAnsi="Calibri"/>
                <w:color w:val="1A1A2E"/>
                <w:sz w:val="20"/>
                <w:szCs w:val="20"/>
              </w:rPr>
              <w:t xml:space="preserve">Attribix — Shopify Attribution Analytics</w:t>
            </w:r>
          </w:p>
        </w:tc>
      </w:tr>
      <w:tr>
        <w:tc>
          <w:tcPr>
            <w:tcW w:type="dxa" w:w="2520"/>
            <w:tcBorders>
              <w:top w:val="single" w:color="D0D8E8" w:sz="4"/>
              <w:left w:val="single" w:color="D0D8E8" w:sz="4"/>
              <w:bottom w:val="single" w:color="D0D8E8" w:sz="4"/>
              <w:right w:val="single" w:color="D0D8E8" w:sz="4"/>
            </w:tcBorders>
            <w:shd w:fill="FFFFFF" w:val="clear"/>
            <w:tcMar>
              <w:top w:type="dxa" w:w="100"/>
              <w:left w:type="dxa" w:w="160"/>
              <w:bottom w:type="dxa" w:w="100"/>
              <w:right w:type="dxa" w:w="160"/>
            </w:tcMar>
            <w:vAlign w:val="center"/>
          </w:tcPr>
          <w:p>
            <w:r>
              <w:rPr>
                <w:rFonts w:ascii="Calibri" w:cs="Calibri" w:eastAsia="Calibri" w:hAnsi="Calibri"/>
                <w:b/>
                <w:bCs/>
                <w:color w:val="1A1A2E"/>
                <w:sz w:val="20"/>
                <w:szCs w:val="20"/>
              </w:rPr>
              <w:t xml:space="preserve">Platform</w:t>
            </w:r>
          </w:p>
        </w:tc>
        <w:tc>
          <w:tcPr>
            <w:tcW w:type="dxa" w:w="6840"/>
            <w:tcBorders>
              <w:top w:val="single" w:color="D0D8E8" w:sz="4"/>
              <w:left w:val="single" w:color="D0D8E8" w:sz="4"/>
              <w:bottom w:val="single" w:color="D0D8E8" w:sz="4"/>
              <w:right w:val="single" w:color="D0D8E8" w:sz="4"/>
            </w:tcBorders>
            <w:shd w:fill="FFFFFF" w:val="clear"/>
            <w:tcMar>
              <w:top w:type="dxa" w:w="100"/>
              <w:left w:type="dxa" w:w="160"/>
              <w:bottom w:type="dxa" w:w="100"/>
              <w:right w:type="dxa" w:w="160"/>
            </w:tcMar>
            <w:vAlign w:val="center"/>
          </w:tcPr>
          <w:p>
            <w:r>
              <w:rPr>
                <w:rFonts w:ascii="Calibri" w:cs="Calibri" w:eastAsia="Calibri" w:hAnsi="Calibri"/>
                <w:color w:val="1A1A2E"/>
                <w:sz w:val="20"/>
                <w:szCs w:val="20"/>
              </w:rPr>
              <w:t xml:space="preserve">Shopify (embedded app)</w:t>
            </w:r>
          </w:p>
        </w:tc>
      </w:tr>
      <w:tr>
        <w:tc>
          <w:tcPr>
            <w:tcW w:type="dxa" w:w="2520"/>
            <w:tcBorders>
              <w:top w:val="single" w:color="D0D8E8" w:sz="4"/>
              <w:left w:val="single" w:color="D0D8E8" w:sz="4"/>
              <w:bottom w:val="single" w:color="D0D8E8" w:sz="4"/>
              <w:right w:val="single" w:color="D0D8E8" w:sz="4"/>
            </w:tcBorders>
            <w:shd w:fill="EEF3FB" w:val="clear"/>
            <w:tcMar>
              <w:top w:type="dxa" w:w="100"/>
              <w:left w:type="dxa" w:w="160"/>
              <w:bottom w:type="dxa" w:w="100"/>
              <w:right w:type="dxa" w:w="160"/>
            </w:tcMar>
            <w:vAlign w:val="center"/>
          </w:tcPr>
          <w:p>
            <w:r>
              <w:rPr>
                <w:rFonts w:ascii="Calibri" w:cs="Calibri" w:eastAsia="Calibri" w:hAnsi="Calibri"/>
                <w:b/>
                <w:bCs/>
                <w:color w:val="1A1A2E"/>
                <w:sz w:val="20"/>
                <w:szCs w:val="20"/>
              </w:rPr>
              <w:t xml:space="preserve">Website</w:t>
            </w:r>
          </w:p>
        </w:tc>
        <w:tc>
          <w:tcPr>
            <w:tcW w:type="dxa" w:w="6840"/>
            <w:tcBorders>
              <w:top w:val="single" w:color="D0D8E8" w:sz="4"/>
              <w:left w:val="single" w:color="D0D8E8" w:sz="4"/>
              <w:bottom w:val="single" w:color="D0D8E8" w:sz="4"/>
              <w:right w:val="single" w:color="D0D8E8" w:sz="4"/>
            </w:tcBorders>
            <w:shd w:fill="EEF3FB" w:val="clear"/>
            <w:tcMar>
              <w:top w:type="dxa" w:w="100"/>
              <w:left w:type="dxa" w:w="160"/>
              <w:bottom w:type="dxa" w:w="100"/>
              <w:right w:type="dxa" w:w="160"/>
            </w:tcMar>
            <w:vAlign w:val="center"/>
          </w:tcPr>
          <w:p>
            <w:r>
              <w:rPr>
                <w:rFonts w:ascii="Calibri" w:cs="Calibri" w:eastAsia="Calibri" w:hAnsi="Calibri"/>
                <w:color w:val="1A1A2E"/>
                <w:sz w:val="20"/>
                <w:szCs w:val="20"/>
              </w:rPr>
              <w:t xml:space="preserve">https://attribix-app.fly.dev</w:t>
            </w:r>
          </w:p>
        </w:tc>
      </w:tr>
      <w:tr>
        <w:tc>
          <w:tcPr>
            <w:tcW w:type="dxa" w:w="2520"/>
            <w:tcBorders>
              <w:top w:val="single" w:color="D0D8E8" w:sz="4"/>
              <w:left w:val="single" w:color="D0D8E8" w:sz="4"/>
              <w:bottom w:val="single" w:color="D0D8E8" w:sz="4"/>
              <w:right w:val="single" w:color="D0D8E8" w:sz="4"/>
            </w:tcBorders>
            <w:shd w:fill="FFFFFF" w:val="clear"/>
            <w:tcMar>
              <w:top w:type="dxa" w:w="100"/>
              <w:left w:type="dxa" w:w="160"/>
              <w:bottom w:type="dxa" w:w="100"/>
              <w:right w:type="dxa" w:w="160"/>
            </w:tcMar>
            <w:vAlign w:val="center"/>
          </w:tcPr>
          <w:p>
            <w:r>
              <w:rPr>
                <w:rFonts w:ascii="Calibri" w:cs="Calibri" w:eastAsia="Calibri" w:hAnsi="Calibri"/>
                <w:b/>
                <w:bCs/>
                <w:color w:val="1A1A2E"/>
                <w:sz w:val="20"/>
                <w:szCs w:val="20"/>
              </w:rPr>
              <w:t xml:space="preserve">Access Type Requested</w:t>
            </w:r>
          </w:p>
        </w:tc>
        <w:tc>
          <w:tcPr>
            <w:tcW w:type="dxa" w:w="6840"/>
            <w:tcBorders>
              <w:top w:val="single" w:color="D0D8E8" w:sz="4"/>
              <w:left w:val="single" w:color="D0D8E8" w:sz="4"/>
              <w:bottom w:val="single" w:color="D0D8E8" w:sz="4"/>
              <w:right w:val="single" w:color="D0D8E8" w:sz="4"/>
            </w:tcBorders>
            <w:shd w:fill="FFFFFF" w:val="clear"/>
            <w:tcMar>
              <w:top w:type="dxa" w:w="100"/>
              <w:left w:type="dxa" w:w="160"/>
              <w:bottom w:type="dxa" w:w="100"/>
              <w:right w:type="dxa" w:w="160"/>
            </w:tcMar>
            <w:vAlign w:val="center"/>
          </w:tcPr>
          <w:p>
            <w:r>
              <w:rPr>
                <w:rFonts w:ascii="Calibri" w:cs="Calibri" w:eastAsia="Calibri" w:hAnsi="Calibri"/>
                <w:color w:val="1A1A2E"/>
                <w:sz w:val="20"/>
                <w:szCs w:val="20"/>
              </w:rPr>
              <w:t xml:space="preserve">Google Ads API Basic Access</w:t>
            </w:r>
          </w:p>
        </w:tc>
      </w:tr>
    </w:tbl>
    <w:p>
      <w:pPr>
        <w:spacing w:after="40" w:before="80"/>
      </w:pPr>
    </w:p>
    <w:p>
      <w:pPr>
        <w:spacing w:after="100" w:before="320"/>
      </w:pPr>
      <w:r>
        <w:rPr>
          <w:rFonts w:ascii="Calibri" w:cs="Calibri" w:eastAsia="Calibri" w:hAnsi="Calibri"/>
          <w:b/>
          <w:bCs/>
          <w:color w:val="2E6BD6"/>
          <w:sz w:val="26"/>
          <w:szCs w:val="26"/>
        </w:rPr>
        <w:t xml:space="preserve">2. Google Ads API Usage</w:t>
      </w:r>
    </w:p>
    <w:p>
      <w:pPr>
        <w:pBdr>
          <w:bottom w:val="single" w:color="D0D8E8" w:sz="6" w:space="1"/>
        </w:pBdr>
        <w:spacing w:after="80" w:before="0"/>
      </w:pPr>
    </w:p>
    <w:p>
      <w:pPr>
        <w:spacing w:after="60" w:before="60"/>
      </w:pPr>
    </w:p>
    <w:p>
      <w:pPr>
        <w:spacing w:after="80" w:before="80"/>
      </w:pPr>
      <w:r>
        <w:rPr>
          <w:rFonts w:ascii="Calibri" w:cs="Calibri" w:eastAsia="Calibri" w:hAnsi="Calibri"/>
          <w:color w:val="1A1A2E"/>
          <w:sz w:val="22"/>
          <w:szCs w:val="22"/>
        </w:rPr>
        <w:t xml:space="preserve">Attribix uses the Google Ads API exclusively to read campaign performance data. No write operations of any kind are performed against the Google Ads API.</w:t>
      </w:r>
    </w:p>
    <w:p>
      <w:pPr>
        <w:spacing w:after="40" w:before="40"/>
      </w:pPr>
    </w:p>
    <w:p>
      <w:pPr>
        <w:pStyle w:val="ListParagraph"/>
        <w:numPr>
          <w:ilvl w:val="0"/>
          <w:numId w:val="2"/>
        </w:numPr>
        <w:spacing w:after="40" w:before="40"/>
      </w:pPr>
      <w:r>
        <w:rPr>
          <w:rFonts w:ascii="Calibri" w:cs="Calibri" w:eastAsia="Calibri" w:hAnsi="Calibri"/>
          <w:b w:val="false"/>
          <w:bCs w:val="false"/>
          <w:color w:val="1A1A2E"/>
          <w:sz w:val="22"/>
          <w:szCs w:val="22"/>
        </w:rPr>
        <w:t xml:space="preserve">Campaign spend, impressions, clicks, conversions (purchases), and cost-per-click are retrieved</w:t>
      </w:r>
    </w:p>
    <w:p>
      <w:pPr>
        <w:pStyle w:val="ListParagraph"/>
        <w:numPr>
          <w:ilvl w:val="0"/>
          <w:numId w:val="2"/>
        </w:numPr>
        <w:spacing w:after="40" w:before="40"/>
      </w:pPr>
      <w:r>
        <w:rPr>
          <w:rFonts w:ascii="Calibri" w:cs="Calibri" w:eastAsia="Calibri" w:hAnsi="Calibri"/>
          <w:b w:val="false"/>
          <w:bCs w:val="false"/>
          <w:color w:val="1A1A2E"/>
          <w:sz w:val="22"/>
          <w:szCs w:val="22"/>
        </w:rPr>
        <w:t xml:space="preserve">Data is fetched via the GoogleAds:searchStream endpoint using GAQL queries</w:t>
      </w:r>
    </w:p>
    <w:p>
      <w:pPr>
        <w:pStyle w:val="ListParagraph"/>
        <w:numPr>
          <w:ilvl w:val="0"/>
          <w:numId w:val="2"/>
        </w:numPr>
        <w:spacing w:after="40" w:before="40"/>
      </w:pPr>
      <w:r>
        <w:rPr>
          <w:rFonts w:ascii="Calibri" w:cs="Calibri" w:eastAsia="Calibri" w:hAnsi="Calibri"/>
          <w:b w:val="false"/>
          <w:bCs w:val="false"/>
          <w:color w:val="1A1A2E"/>
          <w:sz w:val="22"/>
          <w:szCs w:val="22"/>
        </w:rPr>
        <w:t xml:space="preserve">Data is synced automatically once every 24 hours per connected store</w:t>
      </w:r>
    </w:p>
    <w:p>
      <w:pPr>
        <w:pStyle w:val="ListParagraph"/>
        <w:numPr>
          <w:ilvl w:val="0"/>
          <w:numId w:val="2"/>
        </w:numPr>
        <w:spacing w:after="40" w:before="40"/>
      </w:pPr>
      <w:r>
        <w:rPr>
          <w:rFonts w:ascii="Calibri" w:cs="Calibri" w:eastAsia="Calibri" w:hAnsi="Calibri"/>
          <w:b w:val="false"/>
          <w:bCs w:val="false"/>
          <w:color w:val="1A1A2E"/>
          <w:sz w:val="22"/>
          <w:szCs w:val="22"/>
        </w:rPr>
        <w:t xml:space="preserve">All data is stored securely in a PostgreSQL database hosted on Fly.io</w:t>
      </w:r>
    </w:p>
    <w:p>
      <w:pPr>
        <w:pStyle w:val="ListParagraph"/>
        <w:numPr>
          <w:ilvl w:val="0"/>
          <w:numId w:val="2"/>
        </w:numPr>
        <w:spacing w:after="40" w:before="40"/>
      </w:pPr>
      <w:r>
        <w:rPr>
          <w:rFonts w:ascii="Calibri" w:cs="Calibri" w:eastAsia="Calibri" w:hAnsi="Calibri"/>
          <w:b w:val="false"/>
          <w:bCs w:val="false"/>
          <w:color w:val="1A1A2E"/>
          <w:sz w:val="22"/>
          <w:szCs w:val="22"/>
        </w:rPr>
        <w:t xml:space="preserve">No write, mutate, or budget-modification operations are ever performed</w:t>
      </w:r>
    </w:p>
    <w:p>
      <w:pPr>
        <w:spacing w:after="40" w:before="80"/>
      </w:pPr>
    </w:p>
    <w:p>
      <w:pPr>
        <w:spacing w:after="100" w:before="320"/>
      </w:pPr>
      <w:r>
        <w:rPr>
          <w:rFonts w:ascii="Calibri" w:cs="Calibri" w:eastAsia="Calibri" w:hAnsi="Calibri"/>
          <w:b/>
          <w:bCs/>
          <w:color w:val="2E6BD6"/>
          <w:sz w:val="26"/>
          <w:szCs w:val="26"/>
        </w:rPr>
        <w:t xml:space="preserve">3. API Endpoints Used</w:t>
      </w:r>
    </w:p>
    <w:p>
      <w:pPr>
        <w:pBdr>
          <w:bottom w:val="single" w:color="D0D8E8" w:sz="6" w:space="1"/>
        </w:pBdr>
        <w:spacing w:after="80" w:before="0"/>
      </w:pPr>
    </w:p>
    <w:p>
      <w:pPr>
        <w:spacing w:after="60" w:before="60"/>
      </w:pPr>
    </w:p>
    <w:p>
      <w:pPr>
        <w:spacing w:after="80" w:before="80"/>
      </w:pPr>
      <w:r>
        <w:rPr>
          <w:rFonts w:ascii="Calibri" w:cs="Calibri" w:eastAsia="Calibri" w:hAnsi="Calibri"/>
          <w:color w:val="1A1A2E"/>
          <w:sz w:val="22"/>
          <w:szCs w:val="22"/>
        </w:rPr>
        <w:t xml:space="preserve">The following Google Ads API endpoint is used:</w:t>
      </w:r>
    </w:p>
    <w:p>
      <w:pPr>
        <w:spacing w:after="40" w:before="40"/>
      </w:pPr>
    </w:p>
    <w:p>
      <w:pPr>
        <w:pStyle w:val="ListParagraph"/>
        <w:numPr>
          <w:ilvl w:val="0"/>
          <w:numId w:val="2"/>
        </w:numPr>
        <w:spacing w:after="40" w:before="40"/>
      </w:pPr>
      <w:r>
        <w:rPr>
          <w:rFonts w:ascii="Courier New" w:cs="Courier New" w:eastAsia="Courier New" w:hAnsi="Courier New"/>
          <w:b/>
          <w:bCs/>
          <w:color w:val="1A5276"/>
          <w:sz w:val="20"/>
          <w:szCs w:val="20"/>
        </w:rPr>
        <w:t xml:space="preserve">GoogleAds:searchStream</w:t>
      </w:r>
      <w:r>
        <w:rPr>
          <w:rFonts w:ascii="Calibri" w:cs="Calibri" w:eastAsia="Calibri" w:hAnsi="Calibri"/>
          <w:color w:val="1A1A2E"/>
          <w:sz w:val="22"/>
          <w:szCs w:val="22"/>
        </w:rPr>
        <w:t xml:space="preserve"> — query campaign metrics (spend, impressions, clicks, conversions)</w:t>
      </w:r>
    </w:p>
    <w:p>
      <w:pPr>
        <w:spacing w:after="60" w:before="80"/>
      </w:pPr>
    </w:p>
    <w:p>
      <w:pPr>
        <w:spacing w:after="80" w:before="80"/>
      </w:pPr>
      <w:r>
        <w:rPr>
          <w:rFonts w:ascii="Calibri" w:cs="Calibri" w:eastAsia="Calibri" w:hAnsi="Calibri"/>
          <w:color w:val="1A1A2E"/>
          <w:sz w:val="22"/>
          <w:szCs w:val="22"/>
        </w:rPr>
        <w:t xml:space="preserve">No other endpoints are accessed. The application is entirely read-only. There are no write, create, update, or delete operations against any Google Ads resource.</w:t>
      </w:r>
    </w:p>
    <w:p>
      <w:pPr>
        <w:spacing w:after="40" w:before="80"/>
      </w:pPr>
    </w:p>
    <w:p>
      <w:pPr>
        <w:spacing w:after="100" w:before="320"/>
      </w:pPr>
      <w:r>
        <w:rPr>
          <w:rFonts w:ascii="Calibri" w:cs="Calibri" w:eastAsia="Calibri" w:hAnsi="Calibri"/>
          <w:b/>
          <w:bCs/>
          <w:color w:val="2E6BD6"/>
          <w:sz w:val="26"/>
          <w:szCs w:val="26"/>
        </w:rPr>
        <w:t xml:space="preserve">4. Data Flow</w:t>
      </w:r>
    </w:p>
    <w:p>
      <w:pPr>
        <w:pBdr>
          <w:bottom w:val="single" w:color="D0D8E8" w:sz="6" w:space="1"/>
        </w:pBdr>
        <w:spacing w:after="80" w:before="0"/>
      </w:pPr>
    </w:p>
    <w:p>
      <w:pPr>
        <w:spacing w:after="60" w:before="60"/>
      </w:pPr>
    </w:p>
    <w:p>
      <w:pPr>
        <w:spacing w:after="80" w:before="80"/>
      </w:pPr>
      <w:r>
        <w:rPr>
          <w:rFonts w:ascii="Calibri" w:cs="Calibri" w:eastAsia="Calibri" w:hAnsi="Calibri"/>
          <w:color w:val="1A1A2E"/>
          <w:sz w:val="22"/>
          <w:szCs w:val="22"/>
        </w:rPr>
        <w:t xml:space="preserve">The end-to-end data flow is as follows:</w:t>
      </w:r>
    </w:p>
    <w:p>
      <w:pPr>
        <w:spacing w:after="40" w:before="40"/>
      </w:pPr>
    </w:p>
    <w:p>
      <w:pPr>
        <w:pStyle w:val="ListParagraph"/>
        <w:numPr>
          <w:ilvl w:val="0"/>
          <w:numId w:val="2"/>
        </w:numPr>
        <w:spacing w:after="40" w:before="40"/>
      </w:pPr>
      <w:r>
        <w:rPr>
          <w:rFonts w:ascii="Calibri" w:cs="Calibri" w:eastAsia="Calibri" w:hAnsi="Calibri"/>
          <w:b w:val="false"/>
          <w:bCs w:val="false"/>
          <w:color w:val="1A1A2E"/>
          <w:sz w:val="22"/>
          <w:szCs w:val="22"/>
        </w:rPr>
        <w:t xml:space="preserve">User connects their Google Ads account via OAuth 2.0 from within the Shopify admin</w:t>
      </w:r>
    </w:p>
    <w:p>
      <w:pPr>
        <w:pStyle w:val="ListParagraph"/>
        <w:numPr>
          <w:ilvl w:val="0"/>
          <w:numId w:val="2"/>
        </w:numPr>
        <w:spacing w:after="40" w:before="40"/>
      </w:pPr>
      <w:r>
        <w:rPr>
          <w:rFonts w:ascii="Calibri" w:cs="Calibri" w:eastAsia="Calibri" w:hAnsi="Calibri"/>
          <w:b w:val="false"/>
          <w:bCs w:val="false"/>
          <w:color w:val="1A1A2E"/>
          <w:sz w:val="22"/>
          <w:szCs w:val="22"/>
        </w:rPr>
        <w:t xml:space="preserve">User selects their Google Ads customer account from the available accounts</w:t>
      </w:r>
    </w:p>
    <w:p>
      <w:pPr>
        <w:pStyle w:val="ListParagraph"/>
        <w:numPr>
          <w:ilvl w:val="0"/>
          <w:numId w:val="2"/>
        </w:numPr>
        <w:spacing w:after="40" w:before="40"/>
      </w:pPr>
      <w:r>
        <w:rPr>
          <w:rFonts w:ascii="Calibri" w:cs="Calibri" w:eastAsia="Calibri" w:hAnsi="Calibri"/>
          <w:b w:val="false"/>
          <w:bCs w:val="false"/>
          <w:color w:val="1A1A2E"/>
          <w:sz w:val="22"/>
          <w:szCs w:val="22"/>
        </w:rPr>
        <w:t xml:space="preserve">Attribix fetches the last 30 days of campaign metrics daily via searchStream</w:t>
      </w:r>
    </w:p>
    <w:p>
      <w:pPr>
        <w:pStyle w:val="ListParagraph"/>
        <w:numPr>
          <w:ilvl w:val="0"/>
          <w:numId w:val="2"/>
        </w:numPr>
        <w:spacing w:after="40" w:before="40"/>
      </w:pPr>
      <w:r>
        <w:rPr>
          <w:rFonts w:ascii="Calibri" w:cs="Calibri" w:eastAsia="Calibri" w:hAnsi="Calibri"/>
          <w:b w:val="false"/>
          <w:bCs w:val="false"/>
          <w:color w:val="1A1A2E"/>
          <w:sz w:val="22"/>
          <w:szCs w:val="22"/>
        </w:rPr>
        <w:t xml:space="preserve">Fetched data is stored in the app's PostgreSQL database on Fly.io</w:t>
      </w:r>
    </w:p>
    <w:p>
      <w:pPr>
        <w:pStyle w:val="ListParagraph"/>
        <w:numPr>
          <w:ilvl w:val="0"/>
          <w:numId w:val="2"/>
        </w:numPr>
        <w:spacing w:after="40" w:before="40"/>
      </w:pPr>
      <w:r>
        <w:rPr>
          <w:rFonts w:ascii="Calibri" w:cs="Calibri" w:eastAsia="Calibri" w:hAnsi="Calibri"/>
          <w:b w:val="false"/>
          <w:bCs w:val="false"/>
          <w:color w:val="1A1A2E"/>
          <w:sz w:val="22"/>
          <w:szCs w:val="22"/>
        </w:rPr>
        <w:t xml:space="preserve">Metrics are displayed in the merchant's Shopify admin dashboard</w:t>
      </w:r>
    </w:p>
    <w:p>
      <w:pPr>
        <w:pStyle w:val="ListParagraph"/>
        <w:numPr>
          <w:ilvl w:val="0"/>
          <w:numId w:val="2"/>
        </w:numPr>
        <w:spacing w:after="40" w:before="40"/>
      </w:pPr>
      <w:r>
        <w:rPr>
          <w:rFonts w:ascii="Calibri" w:cs="Calibri" w:eastAsia="Calibri" w:hAnsi="Calibri"/>
          <w:b w:val="false"/>
          <w:bCs w:val="false"/>
          <w:color w:val="1A1A2E"/>
          <w:sz w:val="22"/>
          <w:szCs w:val="22"/>
        </w:rPr>
        <w:t xml:space="preserve">No data is shared with third parties at any stage</w:t>
      </w:r>
    </w:p>
    <w:p>
      <w:pPr>
        <w:spacing w:after="40" w:before="80"/>
      </w:pPr>
    </w:p>
    <w:p>
      <w:pPr>
        <w:spacing w:after="100" w:before="320"/>
      </w:pPr>
      <w:r>
        <w:rPr>
          <w:rFonts w:ascii="Calibri" w:cs="Calibri" w:eastAsia="Calibri" w:hAnsi="Calibri"/>
          <w:b/>
          <w:bCs/>
          <w:color w:val="2E6BD6"/>
          <w:sz w:val="26"/>
          <w:szCs w:val="26"/>
        </w:rPr>
        <w:t xml:space="preserve">5. Authentication</w:t>
      </w:r>
    </w:p>
    <w:p>
      <w:pPr>
        <w:pBdr>
          <w:bottom w:val="single" w:color="D0D8E8" w:sz="6" w:space="1"/>
        </w:pBdr>
        <w:spacing w:after="80" w:before="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0D8E8" w:sz="4"/>
              <w:left w:val="single" w:color="D0D8E8" w:sz="4"/>
              <w:bottom w:val="single" w:color="D0D8E8" w:sz="4"/>
              <w:right w:val="single" w:color="D0D8E8" w:sz="4"/>
            </w:tcBorders>
            <w:shd w:fill="EEF3FB" w:val="clear"/>
            <w:tcMar>
              <w:top w:type="dxa" w:w="100"/>
              <w:left w:type="dxa" w:w="160"/>
              <w:bottom w:type="dxa" w:w="100"/>
              <w:right w:type="dxa" w:w="160"/>
            </w:tcMar>
            <w:vAlign w:val="center"/>
          </w:tcPr>
          <w:p>
            <w:r>
              <w:rPr>
                <w:rFonts w:ascii="Calibri" w:cs="Calibri" w:eastAsia="Calibri" w:hAnsi="Calibri"/>
                <w:b/>
                <w:bCs/>
                <w:color w:val="1A1A2E"/>
                <w:sz w:val="20"/>
                <w:szCs w:val="20"/>
              </w:rPr>
              <w:t xml:space="preserve">OAuth Flow</w:t>
            </w:r>
          </w:p>
        </w:tc>
        <w:tc>
          <w:tcPr>
            <w:tcW w:type="dxa" w:w="6840"/>
            <w:tcBorders>
              <w:top w:val="single" w:color="D0D8E8" w:sz="4"/>
              <w:left w:val="single" w:color="D0D8E8" w:sz="4"/>
              <w:bottom w:val="single" w:color="D0D8E8" w:sz="4"/>
              <w:right w:val="single" w:color="D0D8E8" w:sz="4"/>
            </w:tcBorders>
            <w:shd w:fill="EEF3FB" w:val="clear"/>
            <w:tcMar>
              <w:top w:type="dxa" w:w="100"/>
              <w:left w:type="dxa" w:w="160"/>
              <w:bottom w:type="dxa" w:w="100"/>
              <w:right w:type="dxa" w:w="160"/>
            </w:tcMar>
            <w:vAlign w:val="center"/>
          </w:tcPr>
          <w:p>
            <w:r>
              <w:rPr>
                <w:rFonts w:ascii="Calibri" w:cs="Calibri" w:eastAsia="Calibri" w:hAnsi="Calibri"/>
                <w:color w:val="1A1A2E"/>
                <w:sz w:val="20"/>
                <w:szCs w:val="20"/>
              </w:rPr>
              <w:t xml:space="preserve">OAuth 2.0 with offline access (refresh token)</w:t>
            </w:r>
          </w:p>
        </w:tc>
      </w:tr>
      <w:tr>
        <w:tc>
          <w:tcPr>
            <w:tcW w:type="dxa" w:w="2520"/>
            <w:tcBorders>
              <w:top w:val="single" w:color="D0D8E8" w:sz="4"/>
              <w:left w:val="single" w:color="D0D8E8" w:sz="4"/>
              <w:bottom w:val="single" w:color="D0D8E8" w:sz="4"/>
              <w:right w:val="single" w:color="D0D8E8" w:sz="4"/>
            </w:tcBorders>
            <w:shd w:fill="FFFFFF" w:val="clear"/>
            <w:tcMar>
              <w:top w:type="dxa" w:w="100"/>
              <w:left w:type="dxa" w:w="160"/>
              <w:bottom w:type="dxa" w:w="100"/>
              <w:right w:type="dxa" w:w="160"/>
            </w:tcMar>
            <w:vAlign w:val="center"/>
          </w:tcPr>
          <w:p>
            <w:r>
              <w:rPr>
                <w:rFonts w:ascii="Calibri" w:cs="Calibri" w:eastAsia="Calibri" w:hAnsi="Calibri"/>
                <w:b/>
                <w:bCs/>
                <w:color w:val="1A1A2E"/>
                <w:sz w:val="20"/>
                <w:szCs w:val="20"/>
              </w:rPr>
              <w:t xml:space="preserve">Scope</w:t>
            </w:r>
          </w:p>
        </w:tc>
        <w:tc>
          <w:tcPr>
            <w:tcW w:type="dxa" w:w="6840"/>
            <w:tcBorders>
              <w:top w:val="single" w:color="D0D8E8" w:sz="4"/>
              <w:left w:val="single" w:color="D0D8E8" w:sz="4"/>
              <w:bottom w:val="single" w:color="D0D8E8" w:sz="4"/>
              <w:right w:val="single" w:color="D0D8E8" w:sz="4"/>
            </w:tcBorders>
            <w:shd w:fill="FFFFFF" w:val="clear"/>
            <w:tcMar>
              <w:top w:type="dxa" w:w="100"/>
              <w:left w:type="dxa" w:w="160"/>
              <w:bottom w:type="dxa" w:w="100"/>
              <w:right w:type="dxa" w:w="160"/>
            </w:tcMar>
            <w:vAlign w:val="center"/>
          </w:tcPr>
          <w:p>
            <w:r>
              <w:rPr>
                <w:rFonts w:ascii="Calibri" w:cs="Calibri" w:eastAsia="Calibri" w:hAnsi="Calibri"/>
                <w:color w:val="1A1A2E"/>
                <w:sz w:val="20"/>
                <w:szCs w:val="20"/>
              </w:rPr>
              <w:t xml:space="preserve">https://www.googleapis.com/auth/adwords</w:t>
            </w:r>
          </w:p>
        </w:tc>
      </w:tr>
      <w:tr>
        <w:tc>
          <w:tcPr>
            <w:tcW w:type="dxa" w:w="2520"/>
            <w:tcBorders>
              <w:top w:val="single" w:color="D0D8E8" w:sz="4"/>
              <w:left w:val="single" w:color="D0D8E8" w:sz="4"/>
              <w:bottom w:val="single" w:color="D0D8E8" w:sz="4"/>
              <w:right w:val="single" w:color="D0D8E8" w:sz="4"/>
            </w:tcBorders>
            <w:shd w:fill="EEF3FB" w:val="clear"/>
            <w:tcMar>
              <w:top w:type="dxa" w:w="100"/>
              <w:left w:type="dxa" w:w="160"/>
              <w:bottom w:type="dxa" w:w="100"/>
              <w:right w:type="dxa" w:w="160"/>
            </w:tcMar>
            <w:vAlign w:val="center"/>
          </w:tcPr>
          <w:p>
            <w:r>
              <w:rPr>
                <w:rFonts w:ascii="Calibri" w:cs="Calibri" w:eastAsia="Calibri" w:hAnsi="Calibri"/>
                <w:b/>
                <w:bCs/>
                <w:color w:val="1A1A2E"/>
                <w:sz w:val="20"/>
                <w:szCs w:val="20"/>
              </w:rPr>
              <w:t xml:space="preserve">Token Storage</w:t>
            </w:r>
          </w:p>
        </w:tc>
        <w:tc>
          <w:tcPr>
            <w:tcW w:type="dxa" w:w="6840"/>
            <w:tcBorders>
              <w:top w:val="single" w:color="D0D8E8" w:sz="4"/>
              <w:left w:val="single" w:color="D0D8E8" w:sz="4"/>
              <w:bottom w:val="single" w:color="D0D8E8" w:sz="4"/>
              <w:right w:val="single" w:color="D0D8E8" w:sz="4"/>
            </w:tcBorders>
            <w:shd w:fill="EEF3FB" w:val="clear"/>
            <w:tcMar>
              <w:top w:type="dxa" w:w="100"/>
              <w:left w:type="dxa" w:w="160"/>
              <w:bottom w:type="dxa" w:w="100"/>
              <w:right w:type="dxa" w:w="160"/>
            </w:tcMar>
            <w:vAlign w:val="center"/>
          </w:tcPr>
          <w:p>
            <w:r>
              <w:rPr>
                <w:rFonts w:ascii="Calibri" w:cs="Calibri" w:eastAsia="Calibri" w:hAnsi="Calibri"/>
                <w:color w:val="1A1A2E"/>
                <w:sz w:val="20"/>
                <w:szCs w:val="20"/>
              </w:rPr>
              <w:t xml:space="preserve">Encrypted in PostgreSQL database on Fly.io</w:t>
            </w:r>
          </w:p>
        </w:tc>
      </w:tr>
      <w:tr>
        <w:tc>
          <w:tcPr>
            <w:tcW w:type="dxa" w:w="2520"/>
            <w:tcBorders>
              <w:top w:val="single" w:color="D0D8E8" w:sz="4"/>
              <w:left w:val="single" w:color="D0D8E8" w:sz="4"/>
              <w:bottom w:val="single" w:color="D0D8E8" w:sz="4"/>
              <w:right w:val="single" w:color="D0D8E8" w:sz="4"/>
            </w:tcBorders>
            <w:shd w:fill="FFFFFF" w:val="clear"/>
            <w:tcMar>
              <w:top w:type="dxa" w:w="100"/>
              <w:left w:type="dxa" w:w="160"/>
              <w:bottom w:type="dxa" w:w="100"/>
              <w:right w:type="dxa" w:w="160"/>
            </w:tcMar>
            <w:vAlign w:val="center"/>
          </w:tcPr>
          <w:p>
            <w:r>
              <w:rPr>
                <w:rFonts w:ascii="Calibri" w:cs="Calibri" w:eastAsia="Calibri" w:hAnsi="Calibri"/>
                <w:b/>
                <w:bCs/>
                <w:color w:val="1A1A2E"/>
                <w:sz w:val="20"/>
                <w:szCs w:val="20"/>
              </w:rPr>
              <w:t xml:space="preserve">Token Usage</w:t>
            </w:r>
          </w:p>
        </w:tc>
        <w:tc>
          <w:tcPr>
            <w:tcW w:type="dxa" w:w="6840"/>
            <w:tcBorders>
              <w:top w:val="single" w:color="D0D8E8" w:sz="4"/>
              <w:left w:val="single" w:color="D0D8E8" w:sz="4"/>
              <w:bottom w:val="single" w:color="D0D8E8" w:sz="4"/>
              <w:right w:val="single" w:color="D0D8E8" w:sz="4"/>
            </w:tcBorders>
            <w:shd w:fill="FFFFFF" w:val="clear"/>
            <w:tcMar>
              <w:top w:type="dxa" w:w="100"/>
              <w:left w:type="dxa" w:w="160"/>
              <w:bottom w:type="dxa" w:w="100"/>
              <w:right w:type="dxa" w:w="160"/>
            </w:tcMar>
            <w:vAlign w:val="center"/>
          </w:tcPr>
          <w:p>
            <w:r>
              <w:rPr>
                <w:rFonts w:ascii="Calibri" w:cs="Calibri" w:eastAsia="Calibri" w:hAnsi="Calibri"/>
                <w:color w:val="1A1A2E"/>
                <w:sz w:val="20"/>
                <w:szCs w:val="20"/>
              </w:rPr>
              <w:t xml:space="preserve">Refresh tokens used to obtain short-lived access tokens</w:t>
            </w:r>
          </w:p>
        </w:tc>
      </w:tr>
    </w:tbl>
    <w:p>
      <w:pPr>
        <w:spacing w:after="40" w:before="80"/>
      </w:pPr>
    </w:p>
    <w:p>
      <w:pPr>
        <w:spacing w:after="100" w:before="320"/>
      </w:pPr>
      <w:r>
        <w:rPr>
          <w:rFonts w:ascii="Calibri" w:cs="Calibri" w:eastAsia="Calibri" w:hAnsi="Calibri"/>
          <w:b/>
          <w:bCs/>
          <w:color w:val="2E6BD6"/>
          <w:sz w:val="26"/>
          <w:szCs w:val="26"/>
        </w:rPr>
        <w:t xml:space="preserve">6. Privacy &amp; Data Handling</w:t>
      </w:r>
    </w:p>
    <w:p>
      <w:pPr>
        <w:pBdr>
          <w:bottom w:val="single" w:color="D0D8E8" w:sz="6" w:space="1"/>
        </w:pBdr>
        <w:spacing w:after="80" w:before="0"/>
      </w:pPr>
    </w:p>
    <w:p>
      <w:pPr>
        <w:spacing w:after="60" w:before="60"/>
      </w:pPr>
    </w:p>
    <w:p>
      <w:pPr>
        <w:spacing w:after="80" w:before="80"/>
      </w:pPr>
      <w:r>
        <w:rPr>
          <w:rFonts w:ascii="Calibri" w:cs="Calibri" w:eastAsia="Calibri" w:hAnsi="Calibri"/>
          <w:color w:val="1A1A2E"/>
          <w:sz w:val="22"/>
          <w:szCs w:val="22"/>
        </w:rPr>
        <w:t xml:space="preserve">Attribix is designed with a minimal data footprint. Only the metrics strictly necessary for attribution analytics are stored.</w:t>
      </w:r>
    </w:p>
    <w:p>
      <w:pPr>
        <w:spacing w:after="40" w:before="40"/>
      </w:pPr>
    </w:p>
    <w:p>
      <w:pPr>
        <w:pStyle w:val="ListParagraph"/>
        <w:numPr>
          <w:ilvl w:val="0"/>
          <w:numId w:val="2"/>
        </w:numPr>
        <w:spacing w:after="40" w:before="40"/>
      </w:pPr>
      <w:r>
        <w:rPr>
          <w:rFonts w:ascii="Calibri" w:cs="Calibri" w:eastAsia="Calibri" w:hAnsi="Calibri"/>
          <w:b/>
          <w:bCs/>
          <w:color w:val="1A1A2E"/>
          <w:sz w:val="22"/>
          <w:szCs w:val="22"/>
        </w:rPr>
        <w:t xml:space="preserve">Stored data: </w:t>
      </w:r>
      <w:r>
        <w:rPr>
          <w:rFonts w:ascii="Calibri" w:cs="Calibri" w:eastAsia="Calibri" w:hAnsi="Calibri"/>
          <w:color w:val="1A1A2E"/>
          <w:sz w:val="22"/>
          <w:szCs w:val="22"/>
        </w:rPr>
        <w:t xml:space="preserve">ad performance metrics only — spend, impressions, clicks, and conversions</w:t>
      </w:r>
    </w:p>
    <w:p>
      <w:pPr>
        <w:pStyle w:val="ListParagraph"/>
        <w:numPr>
          <w:ilvl w:val="0"/>
          <w:numId w:val="2"/>
        </w:numPr>
        <w:spacing w:after="40" w:before="40"/>
      </w:pPr>
      <w:r>
        <w:rPr>
          <w:rFonts w:ascii="Calibri" w:cs="Calibri" w:eastAsia="Calibri" w:hAnsi="Calibri"/>
          <w:b/>
          <w:bCs/>
          <w:color w:val="1A1A2E"/>
          <w:sz w:val="22"/>
          <w:szCs w:val="22"/>
        </w:rPr>
        <w:t xml:space="preserve">Personal data: </w:t>
      </w:r>
      <w:r>
        <w:rPr>
          <w:rFonts w:ascii="Calibri" w:cs="Calibri" w:eastAsia="Calibri" w:hAnsi="Calibri"/>
          <w:color w:val="1A1A2E"/>
          <w:sz w:val="22"/>
          <w:szCs w:val="22"/>
        </w:rPr>
        <w:t xml:space="preserve">no user personal data from Google is stored</w:t>
      </w:r>
    </w:p>
    <w:p>
      <w:pPr>
        <w:pStyle w:val="ListParagraph"/>
        <w:numPr>
          <w:ilvl w:val="0"/>
          <w:numId w:val="2"/>
        </w:numPr>
        <w:spacing w:after="40" w:before="40"/>
      </w:pPr>
      <w:r>
        <w:rPr>
          <w:rFonts w:ascii="Calibri" w:cs="Calibri" w:eastAsia="Calibri" w:hAnsi="Calibri"/>
          <w:b/>
          <w:bCs/>
          <w:color w:val="1A1A2E"/>
          <w:sz w:val="22"/>
          <w:szCs w:val="22"/>
        </w:rPr>
        <w:t xml:space="preserve">Data access: </w:t>
      </w:r>
      <w:r>
        <w:rPr>
          <w:rFonts w:ascii="Calibri" w:cs="Calibri" w:eastAsia="Calibri" w:hAnsi="Calibri"/>
          <w:color w:val="1A1A2E"/>
          <w:sz w:val="22"/>
          <w:szCs w:val="22"/>
        </w:rPr>
        <w:t xml:space="preserve">data is only accessible by the Shopify merchant who owns the connected account</w:t>
      </w:r>
    </w:p>
    <w:p>
      <w:pPr>
        <w:pStyle w:val="ListParagraph"/>
        <w:numPr>
          <w:ilvl w:val="0"/>
          <w:numId w:val="2"/>
        </w:numPr>
        <w:spacing w:after="40" w:before="40"/>
      </w:pPr>
      <w:r>
        <w:rPr>
          <w:rFonts w:ascii="Calibri" w:cs="Calibri" w:eastAsia="Calibri" w:hAnsi="Calibri"/>
          <w:b/>
          <w:bCs/>
          <w:color w:val="1A1A2E"/>
          <w:sz w:val="22"/>
          <w:szCs w:val="22"/>
        </w:rPr>
        <w:t xml:space="preserve">Data sharing: </w:t>
      </w:r>
      <w:r>
        <w:rPr>
          <w:rFonts w:ascii="Calibri" w:cs="Calibri" w:eastAsia="Calibri" w:hAnsi="Calibri"/>
          <w:color w:val="1A1A2E"/>
          <w:sz w:val="22"/>
          <w:szCs w:val="22"/>
        </w:rPr>
        <w:t xml:space="preserve">data is never sold or shared with any third parties</w:t>
      </w:r>
    </w:p>
    <w:p>
      <w:pPr>
        <w:pStyle w:val="ListParagraph"/>
        <w:numPr>
          <w:ilvl w:val="0"/>
          <w:numId w:val="2"/>
        </w:numPr>
        <w:spacing w:after="40" w:before="40"/>
      </w:pPr>
      <w:r>
        <w:rPr>
          <w:rFonts w:ascii="Calibri" w:cs="Calibri" w:eastAsia="Calibri" w:hAnsi="Calibri"/>
          <w:b/>
          <w:bCs/>
          <w:color w:val="1A1A2E"/>
          <w:sz w:val="22"/>
          <w:szCs w:val="22"/>
        </w:rPr>
        <w:t xml:space="preserve">Data retention: </w:t>
      </w:r>
      <w:r>
        <w:rPr>
          <w:rFonts w:ascii="Calibri" w:cs="Calibri" w:eastAsia="Calibri" w:hAnsi="Calibri"/>
          <w:color w:val="1A1A2E"/>
          <w:sz w:val="22"/>
          <w:szCs w:val="22"/>
        </w:rPr>
        <w:t xml:space="preserve">metrics are retained only for the period necessary to provide the service</w:t>
      </w:r>
    </w:p>
    <w:p>
      <w:pPr>
        <w:spacing w:after="40" w:before="80"/>
      </w:pPr>
    </w:p>
    <w:p>
      <w:pPr>
        <w:spacing w:after="100" w:before="320"/>
      </w:pPr>
      <w:r>
        <w:rPr>
          <w:rFonts w:ascii="Calibri" w:cs="Calibri" w:eastAsia="Calibri" w:hAnsi="Calibri"/>
          <w:b/>
          <w:bCs/>
          <w:color w:val="2E6BD6"/>
          <w:sz w:val="26"/>
          <w:szCs w:val="26"/>
        </w:rPr>
        <w:t xml:space="preserve">7. Developer Information</w:t>
      </w:r>
    </w:p>
    <w:p>
      <w:pPr>
        <w:pBdr>
          <w:bottom w:val="single" w:color="D0D8E8" w:sz="6" w:space="1"/>
        </w:pBdr>
        <w:spacing w:after="80" w:before="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0D8E8" w:sz="4"/>
              <w:left w:val="single" w:color="D0D8E8" w:sz="4"/>
              <w:bottom w:val="single" w:color="D0D8E8" w:sz="4"/>
              <w:right w:val="single" w:color="D0D8E8" w:sz="4"/>
            </w:tcBorders>
            <w:shd w:fill="EEF3FB" w:val="clear"/>
            <w:tcMar>
              <w:top w:type="dxa" w:w="100"/>
              <w:left w:type="dxa" w:w="160"/>
              <w:bottom w:type="dxa" w:w="100"/>
              <w:right w:type="dxa" w:w="160"/>
            </w:tcMar>
            <w:vAlign w:val="center"/>
          </w:tcPr>
          <w:p>
            <w:r>
              <w:rPr>
                <w:rFonts w:ascii="Calibri" w:cs="Calibri" w:eastAsia="Calibri" w:hAnsi="Calibri"/>
                <w:b/>
                <w:bCs/>
                <w:color w:val="1A1A2E"/>
                <w:sz w:val="20"/>
                <w:szCs w:val="20"/>
              </w:rPr>
              <w:t xml:space="preserve">Developer</w:t>
            </w:r>
          </w:p>
        </w:tc>
        <w:tc>
          <w:tcPr>
            <w:tcW w:type="dxa" w:w="6840"/>
            <w:tcBorders>
              <w:top w:val="single" w:color="D0D8E8" w:sz="4"/>
              <w:left w:val="single" w:color="D0D8E8" w:sz="4"/>
              <w:bottom w:val="single" w:color="D0D8E8" w:sz="4"/>
              <w:right w:val="single" w:color="D0D8E8" w:sz="4"/>
            </w:tcBorders>
            <w:shd w:fill="EEF3FB" w:val="clear"/>
            <w:tcMar>
              <w:top w:type="dxa" w:w="100"/>
              <w:left w:type="dxa" w:w="160"/>
              <w:bottom w:type="dxa" w:w="100"/>
              <w:right w:type="dxa" w:w="160"/>
            </w:tcMar>
            <w:vAlign w:val="center"/>
          </w:tcPr>
          <w:p>
            <w:r>
              <w:rPr>
                <w:rFonts w:ascii="Calibri" w:cs="Calibri" w:eastAsia="Calibri" w:hAnsi="Calibri"/>
                <w:color w:val="1A1A2E"/>
                <w:sz w:val="20"/>
                <w:szCs w:val="20"/>
              </w:rPr>
              <w:t xml:space="preserve">Attribix</w:t>
            </w:r>
          </w:p>
        </w:tc>
      </w:tr>
      <w:tr>
        <w:tc>
          <w:tcPr>
            <w:tcW w:type="dxa" w:w="2520"/>
            <w:tcBorders>
              <w:top w:val="single" w:color="D0D8E8" w:sz="4"/>
              <w:left w:val="single" w:color="D0D8E8" w:sz="4"/>
              <w:bottom w:val="single" w:color="D0D8E8" w:sz="4"/>
              <w:right w:val="single" w:color="D0D8E8" w:sz="4"/>
            </w:tcBorders>
            <w:shd w:fill="FFFFFF" w:val="clear"/>
            <w:tcMar>
              <w:top w:type="dxa" w:w="100"/>
              <w:left w:type="dxa" w:w="160"/>
              <w:bottom w:type="dxa" w:w="100"/>
              <w:right w:type="dxa" w:w="160"/>
            </w:tcMar>
            <w:vAlign w:val="center"/>
          </w:tcPr>
          <w:p>
            <w:r>
              <w:rPr>
                <w:rFonts w:ascii="Calibri" w:cs="Calibri" w:eastAsia="Calibri" w:hAnsi="Calibri"/>
                <w:b/>
                <w:bCs/>
                <w:color w:val="1A1A2E"/>
                <w:sz w:val="20"/>
                <w:szCs w:val="20"/>
              </w:rPr>
              <w:t xml:space="preserve">Application URL</w:t>
            </w:r>
          </w:p>
        </w:tc>
        <w:tc>
          <w:tcPr>
            <w:tcW w:type="dxa" w:w="6840"/>
            <w:tcBorders>
              <w:top w:val="single" w:color="D0D8E8" w:sz="4"/>
              <w:left w:val="single" w:color="D0D8E8" w:sz="4"/>
              <w:bottom w:val="single" w:color="D0D8E8" w:sz="4"/>
              <w:right w:val="single" w:color="D0D8E8" w:sz="4"/>
            </w:tcBorders>
            <w:shd w:fill="FFFFFF" w:val="clear"/>
            <w:tcMar>
              <w:top w:type="dxa" w:w="100"/>
              <w:left w:type="dxa" w:w="160"/>
              <w:bottom w:type="dxa" w:w="100"/>
              <w:right w:type="dxa" w:w="160"/>
            </w:tcMar>
            <w:vAlign w:val="center"/>
          </w:tcPr>
          <w:p>
            <w:r>
              <w:rPr>
                <w:rFonts w:ascii="Calibri" w:cs="Calibri" w:eastAsia="Calibri" w:hAnsi="Calibri"/>
                <w:color w:val="1A1A2E"/>
                <w:sz w:val="20"/>
                <w:szCs w:val="20"/>
              </w:rPr>
              <w:t xml:space="preserve">https://attribix-app.fly.dev</w:t>
            </w:r>
          </w:p>
        </w:tc>
      </w:tr>
      <w:tr>
        <w:tc>
          <w:tcPr>
            <w:tcW w:type="dxa" w:w="2520"/>
            <w:tcBorders>
              <w:top w:val="single" w:color="D0D8E8" w:sz="4"/>
              <w:left w:val="single" w:color="D0D8E8" w:sz="4"/>
              <w:bottom w:val="single" w:color="D0D8E8" w:sz="4"/>
              <w:right w:val="single" w:color="D0D8E8" w:sz="4"/>
            </w:tcBorders>
            <w:shd w:fill="EEF3FB" w:val="clear"/>
            <w:tcMar>
              <w:top w:type="dxa" w:w="100"/>
              <w:left w:type="dxa" w:w="160"/>
              <w:bottom w:type="dxa" w:w="100"/>
              <w:right w:type="dxa" w:w="160"/>
            </w:tcMar>
            <w:vAlign w:val="center"/>
          </w:tcPr>
          <w:p>
            <w:r>
              <w:rPr>
                <w:rFonts w:ascii="Calibri" w:cs="Calibri" w:eastAsia="Calibri" w:hAnsi="Calibri"/>
                <w:b/>
                <w:bCs/>
                <w:color w:val="1A1A2E"/>
                <w:sz w:val="20"/>
                <w:szCs w:val="20"/>
              </w:rPr>
              <w:t xml:space="preserve">Contact</w:t>
            </w:r>
          </w:p>
        </w:tc>
        <w:tc>
          <w:tcPr>
            <w:tcW w:type="dxa" w:w="6840"/>
            <w:tcBorders>
              <w:top w:val="single" w:color="D0D8E8" w:sz="4"/>
              <w:left w:val="single" w:color="D0D8E8" w:sz="4"/>
              <w:bottom w:val="single" w:color="D0D8E8" w:sz="4"/>
              <w:right w:val="single" w:color="D0D8E8" w:sz="4"/>
            </w:tcBorders>
            <w:shd w:fill="EEF3FB" w:val="clear"/>
            <w:tcMar>
              <w:top w:type="dxa" w:w="100"/>
              <w:left w:type="dxa" w:w="160"/>
              <w:bottom w:type="dxa" w:w="100"/>
              <w:right w:type="dxa" w:w="160"/>
            </w:tcMar>
            <w:vAlign w:val="center"/>
          </w:tcPr>
          <w:p>
            <w:r>
              <w:rPr>
                <w:rFonts w:ascii="Calibri" w:cs="Calibri" w:eastAsia="Calibri" w:hAnsi="Calibri"/>
                <w:color w:val="1A1A2E"/>
                <w:sz w:val="20"/>
                <w:szCs w:val="20"/>
              </w:rPr>
              <w:t xml:space="preserve">Available via the Shopify app listing</w:t>
            </w:r>
          </w:p>
        </w:tc>
      </w:tr>
      <w:tr>
        <w:tc>
          <w:tcPr>
            <w:tcW w:type="dxa" w:w="2520"/>
            <w:tcBorders>
              <w:top w:val="single" w:color="D0D8E8" w:sz="4"/>
              <w:left w:val="single" w:color="D0D8E8" w:sz="4"/>
              <w:bottom w:val="single" w:color="D0D8E8" w:sz="4"/>
              <w:right w:val="single" w:color="D0D8E8" w:sz="4"/>
            </w:tcBorders>
            <w:shd w:fill="FFFFFF" w:val="clear"/>
            <w:tcMar>
              <w:top w:type="dxa" w:w="100"/>
              <w:left w:type="dxa" w:w="160"/>
              <w:bottom w:type="dxa" w:w="100"/>
              <w:right w:type="dxa" w:w="160"/>
            </w:tcMar>
            <w:vAlign w:val="center"/>
          </w:tcPr>
          <w:p>
            <w:r>
              <w:rPr>
                <w:rFonts w:ascii="Calibri" w:cs="Calibri" w:eastAsia="Calibri" w:hAnsi="Calibri"/>
                <w:b/>
                <w:bCs/>
                <w:color w:val="1A1A2E"/>
                <w:sz w:val="20"/>
                <w:szCs w:val="20"/>
              </w:rPr>
              <w:t xml:space="preserve">Infrastructure</w:t>
            </w:r>
          </w:p>
        </w:tc>
        <w:tc>
          <w:tcPr>
            <w:tcW w:type="dxa" w:w="6840"/>
            <w:tcBorders>
              <w:top w:val="single" w:color="D0D8E8" w:sz="4"/>
              <w:left w:val="single" w:color="D0D8E8" w:sz="4"/>
              <w:bottom w:val="single" w:color="D0D8E8" w:sz="4"/>
              <w:right w:val="single" w:color="D0D8E8" w:sz="4"/>
            </w:tcBorders>
            <w:shd w:fill="FFFFFF" w:val="clear"/>
            <w:tcMar>
              <w:top w:type="dxa" w:w="100"/>
              <w:left w:type="dxa" w:w="160"/>
              <w:bottom w:type="dxa" w:w="100"/>
              <w:right w:type="dxa" w:w="160"/>
            </w:tcMar>
            <w:vAlign w:val="center"/>
          </w:tcPr>
          <w:p>
            <w:r>
              <w:rPr>
                <w:rFonts w:ascii="Calibri" w:cs="Calibri" w:eastAsia="Calibri" w:hAnsi="Calibri"/>
                <w:color w:val="1A1A2E"/>
                <w:sz w:val="20"/>
                <w:szCs w:val="20"/>
              </w:rPr>
              <w:t xml:space="preserve">Fly.io (hosted in the EU region)</w:t>
            </w:r>
          </w:p>
        </w:tc>
      </w:tr>
      <w:tr>
        <w:tc>
          <w:tcPr>
            <w:tcW w:type="dxa" w:w="2520"/>
            <w:tcBorders>
              <w:top w:val="single" w:color="D0D8E8" w:sz="4"/>
              <w:left w:val="single" w:color="D0D8E8" w:sz="4"/>
              <w:bottom w:val="single" w:color="D0D8E8" w:sz="4"/>
              <w:right w:val="single" w:color="D0D8E8" w:sz="4"/>
            </w:tcBorders>
            <w:shd w:fill="EEF3FB" w:val="clear"/>
            <w:tcMar>
              <w:top w:type="dxa" w:w="100"/>
              <w:left w:type="dxa" w:w="160"/>
              <w:bottom w:type="dxa" w:w="100"/>
              <w:right w:type="dxa" w:w="160"/>
            </w:tcMar>
            <w:vAlign w:val="center"/>
          </w:tcPr>
          <w:p>
            <w:r>
              <w:rPr>
                <w:rFonts w:ascii="Calibri" w:cs="Calibri" w:eastAsia="Calibri" w:hAnsi="Calibri"/>
                <w:b/>
                <w:bCs/>
                <w:color w:val="1A1A2E"/>
                <w:sz w:val="20"/>
                <w:szCs w:val="20"/>
              </w:rPr>
              <w:t xml:space="preserve">Database</w:t>
            </w:r>
          </w:p>
        </w:tc>
        <w:tc>
          <w:tcPr>
            <w:tcW w:type="dxa" w:w="6840"/>
            <w:tcBorders>
              <w:top w:val="single" w:color="D0D8E8" w:sz="4"/>
              <w:left w:val="single" w:color="D0D8E8" w:sz="4"/>
              <w:bottom w:val="single" w:color="D0D8E8" w:sz="4"/>
              <w:right w:val="single" w:color="D0D8E8" w:sz="4"/>
            </w:tcBorders>
            <w:shd w:fill="EEF3FB" w:val="clear"/>
            <w:tcMar>
              <w:top w:type="dxa" w:w="100"/>
              <w:left w:type="dxa" w:w="160"/>
              <w:bottom w:type="dxa" w:w="100"/>
              <w:right w:type="dxa" w:w="160"/>
            </w:tcMar>
            <w:vAlign w:val="center"/>
          </w:tcPr>
          <w:p>
            <w:r>
              <w:rPr>
                <w:rFonts w:ascii="Calibri" w:cs="Calibri" w:eastAsia="Calibri" w:hAnsi="Calibri"/>
                <w:color w:val="1A1A2E"/>
                <w:sz w:val="20"/>
                <w:szCs w:val="20"/>
              </w:rPr>
              <w:t xml:space="preserve">PostgreSQL — Fly.io managed Postgres</w:t>
            </w:r>
          </w:p>
        </w:tc>
      </w:tr>
    </w:tbl>
    <w:p>
      <w:pPr>
        <w:spacing w:after="80" w:before="160"/>
      </w:pPr>
    </w:p>
    <w:p>
      <w:pPr>
        <w:pBdr>
          <w:left w:val="single" w:color="2E6BD6" w:sz="16" w:space="8"/>
        </w:pBdr>
        <w:spacing w:after="80" w:before="160"/>
      </w:pPr>
      <w:r>
        <w:rPr>
          <w:rFonts w:ascii="Calibri" w:cs="Calibri" w:eastAsia="Calibri" w:hAnsi="Calibri"/>
          <w:i/>
          <w:iCs/>
          <w:color w:val="5A6B8A"/>
          <w:sz w:val="20"/>
          <w:szCs w:val="20"/>
        </w:rPr>
        <w:t xml:space="preserve">This document is provided to support the Google Ads API Basic Access application. All information is accurate as of the date of this document. Attribix is committed to responsible and compliant use of the Google Ads API in accordance with Google's API Services User Data Policy and Terms of Service.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8" w:sz="4" w:space="1"/>
      </w:pBdr>
      <w:spacing w:after="0" w:before="0"/>
    </w:pPr>
  </w:p>
  <w:p>
    <w:pPr>
      <w:tabs>
        <w:tab w:val="right" w:pos="9360"/>
      </w:tabs>
      <w:spacing w:after="0" w:before="80"/>
    </w:pPr>
    <w:r>
      <w:rPr>
        <w:rFonts w:ascii="Calibri" w:cs="Calibri" w:eastAsia="Calibri" w:hAnsi="Calibri"/>
        <w:color w:val="5A6B8A"/>
        <w:sz w:val="18"/>
        <w:szCs w:val="18"/>
      </w:rPr>
      <w:t xml:space="preserve">Confidential — Google Ads API Application</w:t>
    </w:r>
    <w:r>
      <w:rPr>
        <w:rFonts w:ascii="Calibri" w:cs="Calibri" w:eastAsia="Calibri" w:hAnsi="Calibri"/>
        <w:sz w:val="18"/>
        <w:szCs w:val="18"/>
      </w:rPr>
      <w:t xml:space="preserve">	</w:t>
    </w:r>
    <w:r>
      <w:rPr>
        <w:rFonts w:ascii="Calibri" w:cs="Calibri" w:eastAsia="Calibri" w:hAnsi="Calibri"/>
        <w:color w:val="5A6B8A"/>
        <w:sz w:val="18"/>
        <w:szCs w:val="18"/>
      </w:rPr>
      <w:t xml:space="preserve">Page </w:t>
    </w:r>
    <w:r>
      <w:rPr>
        <w:rFonts w:ascii="Calibri" w:cs="Calibri" w:eastAsia="Calibri" w:hAnsi="Calibri"/>
        <w:color w:val="5A6B8A"/>
        <w:sz w:val="18"/>
        <w:szCs w:val="18"/>
      </w:rPr>
      <w:fldChar w:fldCharType="begin"/>
      <w:instrText xml:space="preserve">PAGE</w:instrText>
      <w:fldChar w:fldCharType="separate"/>
      <w:fldChar w:fldCharType="end"/>
    </w:r>
    <w:r>
      <w:rPr>
        <w:rFonts w:ascii="Calibri" w:cs="Calibri" w:eastAsia="Calibri" w:hAnsi="Calibri"/>
        <w:color w:val="5A6B8A"/>
        <w:sz w:val="18"/>
        <w:szCs w:val="18"/>
      </w:rPr>
      <w:t xml:space="preserve"> of </w:t>
    </w:r>
    <w:r>
      <w:rPr>
        <w:rFonts w:ascii="Calibri" w:cs="Calibri" w:eastAsia="Calibri" w:hAnsi="Calibri"/>
        <w:color w:val="5A6B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before="80"/>
    </w:pPr>
    <w:r>
      <w:rPr>
        <w:rFonts w:ascii="Calibri" w:cs="Calibri" w:eastAsia="Calibri" w:hAnsi="Calibri"/>
        <w:b/>
        <w:bCs/>
        <w:color w:val="5A6B8A"/>
        <w:sz w:val="20"/>
        <w:szCs w:val="20"/>
      </w:rPr>
      <w:t xml:space="preserve">Attribix</w:t>
    </w:r>
    <w:r>
      <w:rPr>
        <w:rFonts w:ascii="Calibri" w:cs="Calibri" w:eastAsia="Calibri" w:hAnsi="Calibri"/>
        <w:color w:val="5A6B8A"/>
        <w:sz w:val="20"/>
        <w:szCs w:val="20"/>
      </w:rPr>
      <w:t xml:space="preserve">   |   Google Ads API Integration Documentation</w:t>
    </w:r>
  </w:p>
  <w:p>
    <w:pPr>
      <w:pBdr>
        <w:bottom w:val="single" w:color="D0D8E8" w:sz="4" w:space="1"/>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2026-03-30T00:37:39.786Z</dcterms:created>
  <dcterms:modified xsi:type="dcterms:W3CDTF">2026-03-30T00:37:39.788Z</dcterms:modified>
</cp:coreProperties>
</file>

<file path=docProps/custom.xml><?xml version="1.0" encoding="utf-8"?>
<Properties xmlns="http://schemas.openxmlformats.org/officeDocument/2006/custom-properties" xmlns:vt="http://schemas.openxmlformats.org/officeDocument/2006/docPropsVTypes"/>
</file>