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2155"/>
        <w:gridCol w:w="3423"/>
        <w:gridCol w:w="3325"/>
      </w:tblGrid>
      <w:tr w:rsidR="006B4973" w:rsidRPr="006B4973" w14:paraId="6E766356" w14:textId="77777777" w:rsidTr="006B4973">
        <w:trPr>
          <w:trHeight w:val="288"/>
        </w:trPr>
        <w:tc>
          <w:tcPr>
            <w:tcW w:w="320" w:type="dxa"/>
            <w:hideMark/>
          </w:tcPr>
          <w:p w14:paraId="7FEB3CF2" w14:textId="77777777" w:rsidR="006B4973" w:rsidRPr="006B4973" w:rsidRDefault="006B4973">
            <w:bookmarkStart w:id="0" w:name="RANGE!O10:R15"/>
            <w:r w:rsidRPr="006B4973">
              <w:t>№</w:t>
            </w:r>
            <w:bookmarkEnd w:id="0"/>
          </w:p>
        </w:tc>
        <w:tc>
          <w:tcPr>
            <w:tcW w:w="2700" w:type="dxa"/>
            <w:hideMark/>
          </w:tcPr>
          <w:p w14:paraId="7E8E0CE4" w14:textId="77777777" w:rsidR="006B4973" w:rsidRPr="006B4973" w:rsidRDefault="006B4973">
            <w:r w:rsidRPr="006B4973">
              <w:t>Направление</w:t>
            </w:r>
          </w:p>
        </w:tc>
        <w:tc>
          <w:tcPr>
            <w:tcW w:w="8180" w:type="dxa"/>
            <w:hideMark/>
          </w:tcPr>
          <w:p w14:paraId="2A918622" w14:textId="5CF049A5" w:rsidR="006B4973" w:rsidRPr="006B4973" w:rsidRDefault="009028B1">
            <w:r>
              <w:t>Ключевое решение</w:t>
            </w:r>
          </w:p>
        </w:tc>
        <w:tc>
          <w:tcPr>
            <w:tcW w:w="8740" w:type="dxa"/>
            <w:hideMark/>
          </w:tcPr>
          <w:p w14:paraId="2BD39135" w14:textId="390569D7" w:rsidR="006B4973" w:rsidRPr="006B4973" w:rsidRDefault="006B4973">
            <w:r w:rsidRPr="006B4973">
              <w:t>Главны</w:t>
            </w:r>
            <w:r w:rsidR="009028B1">
              <w:t>е</w:t>
            </w:r>
            <w:r w:rsidRPr="006B4973">
              <w:t xml:space="preserve"> риск</w:t>
            </w:r>
            <w:r w:rsidR="009028B1">
              <w:t>и</w:t>
            </w:r>
          </w:p>
        </w:tc>
      </w:tr>
      <w:tr w:rsidR="006B4973" w:rsidRPr="006B4973" w14:paraId="0630AE59" w14:textId="77777777" w:rsidTr="006B4973">
        <w:trPr>
          <w:trHeight w:val="1368"/>
        </w:trPr>
        <w:tc>
          <w:tcPr>
            <w:tcW w:w="320" w:type="dxa"/>
            <w:hideMark/>
          </w:tcPr>
          <w:p w14:paraId="4ECDC637" w14:textId="77777777" w:rsidR="006B4973" w:rsidRPr="006B4973" w:rsidRDefault="006B4973">
            <w:r w:rsidRPr="006B4973">
              <w:t>1</w:t>
            </w:r>
          </w:p>
        </w:tc>
        <w:tc>
          <w:tcPr>
            <w:tcW w:w="2700" w:type="dxa"/>
            <w:hideMark/>
          </w:tcPr>
          <w:p w14:paraId="4739FC14" w14:textId="77777777" w:rsidR="006B4973" w:rsidRPr="006B4973" w:rsidRDefault="006B4973">
            <w:r w:rsidRPr="006B4973">
              <w:t>Масштабируемость</w:t>
            </w:r>
          </w:p>
        </w:tc>
        <w:tc>
          <w:tcPr>
            <w:tcW w:w="8180" w:type="dxa"/>
            <w:hideMark/>
          </w:tcPr>
          <w:p w14:paraId="16886BC7" w14:textId="77777777" w:rsidR="006B4973" w:rsidRPr="006B4973" w:rsidRDefault="006B4973">
            <w:r w:rsidRPr="006B4973">
              <w:t>Глобальная система из трёх СЭС (Австралия, Африка, Латинская Америка) по 2,5 ТВт, соединённых трансконтинентальными ЛЭП, — генерация 24 часа в сутки 12 месяцев в году.</w:t>
            </w:r>
          </w:p>
        </w:tc>
        <w:tc>
          <w:tcPr>
            <w:tcW w:w="8740" w:type="dxa"/>
            <w:hideMark/>
          </w:tcPr>
          <w:p w14:paraId="0A9B62F9" w14:textId="77777777" w:rsidR="006B4973" w:rsidRPr="006B4973" w:rsidRDefault="006B4973">
            <w:r w:rsidRPr="006B4973">
              <w:t>Экологический: отчуждение огромных территорий (210 × 210 км на каждую СЭС). Экономический: капиталоёмкость 200–250 млрд долл.</w:t>
            </w:r>
          </w:p>
        </w:tc>
      </w:tr>
      <w:tr w:rsidR="006B4973" w:rsidRPr="006B4973" w14:paraId="4349CBA6" w14:textId="77777777" w:rsidTr="006B4973">
        <w:trPr>
          <w:trHeight w:val="864"/>
        </w:trPr>
        <w:tc>
          <w:tcPr>
            <w:tcW w:w="320" w:type="dxa"/>
            <w:hideMark/>
          </w:tcPr>
          <w:p w14:paraId="149D2F2D" w14:textId="77777777" w:rsidR="006B4973" w:rsidRPr="006B4973" w:rsidRDefault="006B4973">
            <w:r w:rsidRPr="006B4973">
              <w:t>2</w:t>
            </w:r>
          </w:p>
        </w:tc>
        <w:tc>
          <w:tcPr>
            <w:tcW w:w="2700" w:type="dxa"/>
            <w:hideMark/>
          </w:tcPr>
          <w:p w14:paraId="6D279694" w14:textId="77777777" w:rsidR="006B4973" w:rsidRPr="006B4973" w:rsidRDefault="006B4973">
            <w:r w:rsidRPr="006B4973">
              <w:t>Дешёвая генерация</w:t>
            </w:r>
          </w:p>
        </w:tc>
        <w:tc>
          <w:tcPr>
            <w:tcW w:w="8180" w:type="dxa"/>
            <w:hideMark/>
          </w:tcPr>
          <w:p w14:paraId="22C8A5AD" w14:textId="77777777" w:rsidR="006B4973" w:rsidRPr="006B4973" w:rsidRDefault="006B4973">
            <w:r w:rsidRPr="006B4973">
              <w:t xml:space="preserve">Стоимость установленного киловатта пиковой мощности СЭС не должна превышать 1000 долл. США (за счёт </w:t>
            </w:r>
            <w:proofErr w:type="spellStart"/>
            <w:r w:rsidRPr="006B4973">
              <w:t>бесхлорной</w:t>
            </w:r>
            <w:proofErr w:type="spellEnd"/>
            <w:r w:rsidRPr="006B4973">
              <w:t xml:space="preserve"> технологии кремния по 15 долл./кг и стационарных концентраторов).</w:t>
            </w:r>
          </w:p>
        </w:tc>
        <w:tc>
          <w:tcPr>
            <w:tcW w:w="8740" w:type="dxa"/>
            <w:hideMark/>
          </w:tcPr>
          <w:p w14:paraId="0688A5B5" w14:textId="77777777" w:rsidR="006B4973" w:rsidRPr="006B4973" w:rsidRDefault="006B4973">
            <w:r w:rsidRPr="006B4973">
              <w:t>Экологический: энергозатратность новых плазмохимических и лазерных процессов. Экономический: прогноз 1000 долл./кВт к 2020 г. не подтверждён — сейчас 6000–8000 долл./кВт.</w:t>
            </w:r>
          </w:p>
        </w:tc>
      </w:tr>
      <w:tr w:rsidR="006B4973" w:rsidRPr="006B4973" w14:paraId="311F9F94" w14:textId="77777777" w:rsidTr="006B4973">
        <w:trPr>
          <w:trHeight w:val="864"/>
        </w:trPr>
        <w:tc>
          <w:tcPr>
            <w:tcW w:w="320" w:type="dxa"/>
            <w:hideMark/>
          </w:tcPr>
          <w:p w14:paraId="0116704E" w14:textId="77777777" w:rsidR="006B4973" w:rsidRPr="006B4973" w:rsidRDefault="006B4973">
            <w:r w:rsidRPr="006B4973">
              <w:t>3</w:t>
            </w:r>
          </w:p>
        </w:tc>
        <w:tc>
          <w:tcPr>
            <w:tcW w:w="2700" w:type="dxa"/>
            <w:hideMark/>
          </w:tcPr>
          <w:p w14:paraId="54DF215F" w14:textId="77777777" w:rsidR="006B4973" w:rsidRPr="006B4973" w:rsidRDefault="006B4973">
            <w:r w:rsidRPr="006B4973">
              <w:t>Увеличение КПД</w:t>
            </w:r>
          </w:p>
        </w:tc>
        <w:tc>
          <w:tcPr>
            <w:tcW w:w="8180" w:type="dxa"/>
            <w:hideMark/>
          </w:tcPr>
          <w:p w14:paraId="0F102CD5" w14:textId="77777777" w:rsidR="006B4973" w:rsidRPr="006B4973" w:rsidRDefault="006B4973">
            <w:r w:rsidRPr="006B4973">
              <w:t>КПД солнечных электростанций не менее 20 % (в перспективе — до 93 % на новых физических принципах).</w:t>
            </w:r>
          </w:p>
        </w:tc>
        <w:tc>
          <w:tcPr>
            <w:tcW w:w="8740" w:type="dxa"/>
            <w:hideMark/>
          </w:tcPr>
          <w:p w14:paraId="7A9494DB" w14:textId="77777777" w:rsidR="006B4973" w:rsidRPr="006B4973" w:rsidRDefault="006B4973">
            <w:r w:rsidRPr="006B4973">
              <w:t>Экологический: неизученность воздействия наноматериалов и фуллеренов. Экономический: разрыв между лабораторным (36,9 %) и производственным (14–17 %) КПД тормозит внедрение.</w:t>
            </w:r>
          </w:p>
        </w:tc>
      </w:tr>
      <w:tr w:rsidR="006B4973" w:rsidRPr="006B4973" w14:paraId="70B4BA03" w14:textId="77777777" w:rsidTr="006B4973">
        <w:trPr>
          <w:trHeight w:val="576"/>
        </w:trPr>
        <w:tc>
          <w:tcPr>
            <w:tcW w:w="320" w:type="dxa"/>
            <w:hideMark/>
          </w:tcPr>
          <w:p w14:paraId="2539BAB9" w14:textId="77777777" w:rsidR="006B4973" w:rsidRPr="006B4973" w:rsidRDefault="006B4973">
            <w:r w:rsidRPr="006B4973">
              <w:t>4</w:t>
            </w:r>
          </w:p>
        </w:tc>
        <w:tc>
          <w:tcPr>
            <w:tcW w:w="2700" w:type="dxa"/>
            <w:hideMark/>
          </w:tcPr>
          <w:p w14:paraId="32BD0966" w14:textId="77777777" w:rsidR="006B4973" w:rsidRPr="006B4973" w:rsidRDefault="006B4973">
            <w:r w:rsidRPr="006B4973">
              <w:t>Научный прорыв</w:t>
            </w:r>
          </w:p>
        </w:tc>
        <w:tc>
          <w:tcPr>
            <w:tcW w:w="8180" w:type="dxa"/>
            <w:hideMark/>
          </w:tcPr>
          <w:p w14:paraId="191E5EC1" w14:textId="77777777" w:rsidR="006B4973" w:rsidRPr="006B4973" w:rsidRDefault="006B4973">
            <w:r w:rsidRPr="006B4973">
              <w:t xml:space="preserve">Новое поколение СЭ с предельным КПД до 93 % на каскадных гетероструктурах, </w:t>
            </w:r>
            <w:proofErr w:type="spellStart"/>
            <w:r w:rsidRPr="006B4973">
              <w:t>варизонных</w:t>
            </w:r>
            <w:proofErr w:type="spellEnd"/>
            <w:r w:rsidRPr="006B4973">
              <w:t xml:space="preserve"> полупроводниках и примесных энергетических уровнях.</w:t>
            </w:r>
          </w:p>
        </w:tc>
        <w:tc>
          <w:tcPr>
            <w:tcW w:w="8740" w:type="dxa"/>
            <w:hideMark/>
          </w:tcPr>
          <w:p w14:paraId="3D25DDA4" w14:textId="77777777" w:rsidR="006B4973" w:rsidRPr="006B4973" w:rsidRDefault="006B4973">
            <w:r w:rsidRPr="006B4973">
              <w:t xml:space="preserve">Экологический: недостаточная изученность </w:t>
            </w:r>
            <w:proofErr w:type="spellStart"/>
            <w:r w:rsidRPr="006B4973">
              <w:t>нано</w:t>
            </w:r>
            <w:proofErr w:type="spellEnd"/>
            <w:r w:rsidRPr="006B4973">
              <w:t>- и плазмохимических технологий. Экономический: прорыв не гарантирован, сроки коммерциализации неопределённы.</w:t>
            </w:r>
          </w:p>
        </w:tc>
      </w:tr>
      <w:tr w:rsidR="006B4973" w:rsidRPr="006B4973" w14:paraId="2C1E95FB" w14:textId="77777777" w:rsidTr="006B4973">
        <w:trPr>
          <w:trHeight w:val="864"/>
        </w:trPr>
        <w:tc>
          <w:tcPr>
            <w:tcW w:w="320" w:type="dxa"/>
            <w:hideMark/>
          </w:tcPr>
          <w:p w14:paraId="6050F255" w14:textId="77777777" w:rsidR="006B4973" w:rsidRPr="006B4973" w:rsidRDefault="006B4973">
            <w:r w:rsidRPr="006B4973">
              <w:t>5</w:t>
            </w:r>
          </w:p>
        </w:tc>
        <w:tc>
          <w:tcPr>
            <w:tcW w:w="2700" w:type="dxa"/>
            <w:hideMark/>
          </w:tcPr>
          <w:p w14:paraId="1C6DA0CA" w14:textId="77777777" w:rsidR="006B4973" w:rsidRPr="006B4973" w:rsidRDefault="006B4973">
            <w:r w:rsidRPr="006B4973">
              <w:t>Увеличение долговечности</w:t>
            </w:r>
          </w:p>
        </w:tc>
        <w:tc>
          <w:tcPr>
            <w:tcW w:w="8180" w:type="dxa"/>
            <w:hideMark/>
          </w:tcPr>
          <w:p w14:paraId="34BE2D2A" w14:textId="77777777" w:rsidR="006B4973" w:rsidRPr="006B4973" w:rsidRDefault="006B4973">
            <w:r w:rsidRPr="006B4973">
              <w:t xml:space="preserve">Срок службы СЭС должен составлять 50 лет — за счёт </w:t>
            </w:r>
            <w:proofErr w:type="spellStart"/>
            <w:r w:rsidRPr="006B4973">
              <w:t>бесполимерной</w:t>
            </w:r>
            <w:proofErr w:type="spellEnd"/>
            <w:r w:rsidRPr="006B4973">
              <w:t xml:space="preserve"> герметизации (стеклопакет с кремнийорганической жидкостью) вместо стареющих полимеров.</w:t>
            </w:r>
          </w:p>
        </w:tc>
        <w:tc>
          <w:tcPr>
            <w:tcW w:w="8740" w:type="dxa"/>
            <w:hideMark/>
          </w:tcPr>
          <w:p w14:paraId="7ED77E8B" w14:textId="77777777" w:rsidR="006B4973" w:rsidRPr="006B4973" w:rsidRDefault="006B4973">
            <w:r w:rsidRPr="006B4973">
              <w:t xml:space="preserve">Экологический: риск утечки кремнийорганической жидкости и сложность утилизации стеклопакетов. Экономический: </w:t>
            </w:r>
            <w:proofErr w:type="spellStart"/>
            <w:r w:rsidRPr="006B4973">
              <w:t>бесполимерная</w:t>
            </w:r>
            <w:proofErr w:type="spellEnd"/>
            <w:r w:rsidRPr="006B4973">
              <w:t xml:space="preserve"> технология дороже на старте, а 50-летний срок на практике не подтверждён.</w:t>
            </w:r>
          </w:p>
        </w:tc>
      </w:tr>
    </w:tbl>
    <w:p w14:paraId="38A48E62" w14:textId="454B110A" w:rsidR="00774D3A" w:rsidRDefault="00774D3A" w:rsidP="006B4973"/>
    <w:p w14:paraId="49B4BDFB" w14:textId="3FD44ACC" w:rsidR="006B4973" w:rsidRDefault="006B4973" w:rsidP="006B4973">
      <w:r>
        <w:t>Реализация этих пяти направлений обеспечит к концу столетия 60 – 90 % долю солнечной энергии в мировом производстве</w:t>
      </w:r>
    </w:p>
    <w:p w14:paraId="40667CE4" w14:textId="36D20940" w:rsidR="009028B1" w:rsidRDefault="009028B1" w:rsidP="006B4973">
      <w:pPr>
        <w:rPr>
          <w:lang w:val="en-US"/>
        </w:rPr>
      </w:pPr>
      <w:r>
        <w:t>Авторы</w:t>
      </w:r>
      <w:r w:rsidRPr="009028B1">
        <w:t xml:space="preserve">: </w:t>
      </w:r>
      <w:r>
        <w:t xml:space="preserve">Д. С. Стребков, П. </w:t>
      </w:r>
      <w:proofErr w:type="spellStart"/>
      <w:r>
        <w:t>Ракин</w:t>
      </w:r>
      <w:proofErr w:type="spellEnd"/>
    </w:p>
    <w:p w14:paraId="186BEEF6" w14:textId="64554854" w:rsidR="009028B1" w:rsidRPr="009028B1" w:rsidRDefault="009028B1" w:rsidP="006B4973">
      <w:r>
        <w:t>Ссылка на источник</w:t>
      </w:r>
      <w:r w:rsidRPr="009028B1">
        <w:t xml:space="preserve">: </w:t>
      </w:r>
      <w:r w:rsidRPr="009028B1">
        <w:rPr>
          <w:lang w:val="en-US"/>
        </w:rPr>
        <w:t>https</w:t>
      </w:r>
      <w:r w:rsidRPr="009028B1">
        <w:t>://</w:t>
      </w:r>
      <w:r w:rsidRPr="009028B1">
        <w:rPr>
          <w:lang w:val="en-US"/>
        </w:rPr>
        <w:t>canupub</w:t>
      </w:r>
      <w:r w:rsidRPr="009028B1">
        <w:t>.</w:t>
      </w:r>
      <w:r w:rsidRPr="009028B1">
        <w:rPr>
          <w:lang w:val="en-US"/>
        </w:rPr>
        <w:t>me</w:t>
      </w:r>
      <w:r w:rsidRPr="009028B1">
        <w:t>/</w:t>
      </w:r>
      <w:r w:rsidRPr="009028B1">
        <w:rPr>
          <w:lang w:val="en-US"/>
        </w:rPr>
        <w:t>Docs</w:t>
      </w:r>
      <w:r w:rsidRPr="009028B1">
        <w:t>/2006/209-</w:t>
      </w:r>
      <w:r w:rsidRPr="009028B1">
        <w:rPr>
          <w:lang w:val="en-US"/>
        </w:rPr>
        <w:t>Alternativni</w:t>
      </w:r>
      <w:r w:rsidRPr="009028B1">
        <w:t>/</w:t>
      </w:r>
      <w:r w:rsidRPr="009028B1">
        <w:rPr>
          <w:lang w:val="en-US"/>
        </w:rPr>
        <w:t>Alternativni</w:t>
      </w:r>
      <w:r w:rsidRPr="009028B1">
        <w:t>%20</w:t>
      </w:r>
      <w:r w:rsidRPr="009028B1">
        <w:rPr>
          <w:lang w:val="en-US"/>
        </w:rPr>
        <w:t>izvori</w:t>
      </w:r>
      <w:r w:rsidRPr="009028B1">
        <w:t>%20</w:t>
      </w:r>
      <w:r w:rsidRPr="009028B1">
        <w:rPr>
          <w:lang w:val="en-US"/>
        </w:rPr>
        <w:t>energije</w:t>
      </w:r>
      <w:r w:rsidRPr="009028B1">
        <w:t>%20-%2008.%20</w:t>
      </w:r>
      <w:r w:rsidRPr="009028B1">
        <w:rPr>
          <w:lang w:val="en-US"/>
        </w:rPr>
        <w:t>D</w:t>
      </w:r>
      <w:r w:rsidRPr="009028B1">
        <w:t>.%20</w:t>
      </w:r>
      <w:r w:rsidRPr="009028B1">
        <w:rPr>
          <w:lang w:val="en-US"/>
        </w:rPr>
        <w:t>S</w:t>
      </w:r>
      <w:r w:rsidRPr="009028B1">
        <w:t>.%20</w:t>
      </w:r>
      <w:r w:rsidRPr="009028B1">
        <w:rPr>
          <w:lang w:val="en-US"/>
        </w:rPr>
        <w:t>Strebkov</w:t>
      </w:r>
      <w:r w:rsidRPr="009028B1">
        <w:t>,%20</w:t>
      </w:r>
      <w:r w:rsidRPr="009028B1">
        <w:rPr>
          <w:lang w:val="en-US"/>
        </w:rPr>
        <w:t>P</w:t>
      </w:r>
      <w:r w:rsidRPr="009028B1">
        <w:t>.%20</w:t>
      </w:r>
      <w:r w:rsidRPr="009028B1">
        <w:rPr>
          <w:lang w:val="en-US"/>
        </w:rPr>
        <w:t>Rakin</w:t>
      </w:r>
      <w:r w:rsidRPr="009028B1">
        <w:t>.</w:t>
      </w:r>
      <w:r w:rsidRPr="009028B1">
        <w:rPr>
          <w:lang w:val="en-US"/>
        </w:rPr>
        <w:t>pdf</w:t>
      </w:r>
    </w:p>
    <w:sectPr w:rsidR="009028B1" w:rsidRPr="00902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BF"/>
    <w:rsid w:val="006954D9"/>
    <w:rsid w:val="006B4973"/>
    <w:rsid w:val="00774D3A"/>
    <w:rsid w:val="009028B1"/>
    <w:rsid w:val="00B059BF"/>
    <w:rsid w:val="00C717E6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DA25"/>
  <w15:chartTrackingRefBased/>
  <w15:docId w15:val="{F81E8CDD-CC92-4F81-A3B8-7F8DDA72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9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9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9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9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9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9B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9B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9B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9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9B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059B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0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1</cp:revision>
  <dcterms:created xsi:type="dcterms:W3CDTF">2026-09-18T14:32:00Z</dcterms:created>
  <dcterms:modified xsi:type="dcterms:W3CDTF">2026-09-18T15:11:00Z</dcterms:modified>
</cp:coreProperties>
</file>