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"/>
        <w:gridCol w:w="1374"/>
        <w:gridCol w:w="1355"/>
        <w:gridCol w:w="2869"/>
        <w:gridCol w:w="1395"/>
        <w:gridCol w:w="2014"/>
      </w:tblGrid>
      <w:tr w:rsidR="004E19AE" w:rsidRPr="004E19AE" w14:paraId="7047096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B763D" w14:textId="77777777" w:rsidR="004E19AE" w:rsidRPr="004E19AE" w:rsidRDefault="004E19AE" w:rsidP="004E19AE">
            <w:r w:rsidRPr="004E19AE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3E54A" w14:textId="77777777" w:rsidR="004E19AE" w:rsidRPr="004E19AE" w:rsidRDefault="004E19AE" w:rsidP="004E19AE">
            <w:r w:rsidRPr="004E19AE">
              <w:t>Направление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02DA3" w14:textId="77777777" w:rsidR="004E19AE" w:rsidRPr="004E19AE" w:rsidRDefault="004E19AE" w:rsidP="004E19AE">
            <w:r w:rsidRPr="004E19AE">
              <w:t>Польза для России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39352" w14:textId="77777777" w:rsidR="004E19AE" w:rsidRPr="004E19AE" w:rsidRDefault="004E19AE" w:rsidP="004E19AE">
            <w:r w:rsidRPr="004E19AE">
              <w:t>Польза для мира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760BF" w14:textId="77777777" w:rsidR="004E19AE" w:rsidRPr="004E19AE" w:rsidRDefault="004E19AE" w:rsidP="004E19AE">
            <w:r w:rsidRPr="004E19AE">
              <w:t>Риски для России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73C75" w14:textId="77777777" w:rsidR="004E19AE" w:rsidRPr="004E19AE" w:rsidRDefault="004E19AE" w:rsidP="004E19AE">
            <w:r w:rsidRPr="004E19AE">
              <w:t>Риски для мира</w:t>
            </w:r>
          </w:p>
        </w:tc>
      </w:tr>
      <w:tr w:rsidR="004E19AE" w:rsidRPr="004E19AE" w14:paraId="10378A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09765" w14:textId="77777777" w:rsidR="004E19AE" w:rsidRPr="004E19AE" w:rsidRDefault="004E19AE" w:rsidP="004E19AE">
            <w:r w:rsidRPr="004E19A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CFBF1" w14:textId="77777777" w:rsidR="004E19AE" w:rsidRPr="004E19AE" w:rsidRDefault="004E19AE" w:rsidP="004E19AE">
            <w:r w:rsidRPr="004E19AE">
              <w:rPr>
                <w:b/>
                <w:bCs/>
              </w:rPr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A4F4E" w14:textId="77777777" w:rsidR="004E19AE" w:rsidRPr="004E19AE" w:rsidRDefault="004E19AE" w:rsidP="004E19AE">
            <w:r w:rsidRPr="004E19AE">
              <w:t>Развитие солнечной энергетики в южных регионах (Крым, Калмыкия, Ставрополье) снижает зависимость от централизованных сетей; рост глобального энергопотребления в переходный период поддерживает экспорт российских углеводородов.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11576" w14:textId="77777777" w:rsidR="004E19AE" w:rsidRPr="004E19AE" w:rsidRDefault="004E19AE" w:rsidP="004E19AE">
            <w:r w:rsidRPr="004E19AE">
              <w:t>Солнечная энергетика покрывает 40% мирового спроса к 2060; мощность PV — 8,52 ТВт к 2050; приоритет — установка в странах с «грязной» энергетикой; драйверы — Африка и Индия.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13D8F" w14:textId="77777777" w:rsidR="004E19AE" w:rsidRPr="004E19AE" w:rsidRDefault="004E19AE" w:rsidP="004E19AE">
            <w:r w:rsidRPr="004E19AE">
              <w:t>Отставание в производстве панелей и накопителей; санкционные ограничения на технологии; падение экспортных доходов по мере замедления спроса на углеводороды.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39428" w14:textId="77777777" w:rsidR="004E19AE" w:rsidRPr="004E19AE" w:rsidRDefault="004E19AE" w:rsidP="004E19AE">
            <w:r w:rsidRPr="004E19AE">
              <w:rPr>
                <w:b/>
                <w:bCs/>
              </w:rPr>
              <w:t>Экономический:</w:t>
            </w:r>
            <w:r w:rsidRPr="004E19AE">
              <w:t> хранение удорожает на 9,4–33,1%; углеродные пошлины — 6,0–9,8 $/кВт; нестабильность в Африке. </w:t>
            </w:r>
            <w:r w:rsidRPr="004E19AE">
              <w:rPr>
                <w:b/>
                <w:bCs/>
              </w:rPr>
              <w:t>Экологический:</w:t>
            </w:r>
            <w:r w:rsidRPr="004E19AE">
              <w:t> рост землепользования до 85–202 тыс. км²; выбросы при производстве и утилизации.</w:t>
            </w:r>
          </w:p>
        </w:tc>
      </w:tr>
      <w:tr w:rsidR="004E19AE" w:rsidRPr="004E19AE" w14:paraId="335080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959BD" w14:textId="77777777" w:rsidR="004E19AE" w:rsidRPr="004E19AE" w:rsidRDefault="004E19AE" w:rsidP="004E19AE">
            <w:r w:rsidRPr="004E19A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48925" w14:textId="77777777" w:rsidR="004E19AE" w:rsidRPr="004E19AE" w:rsidRDefault="004E19AE" w:rsidP="004E19AE">
            <w:r w:rsidRPr="004E19AE">
              <w:rPr>
                <w:b/>
                <w:bCs/>
              </w:rPr>
              <w:t>Дешёвая генерация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E0FFB" w14:textId="77777777" w:rsidR="004E19AE" w:rsidRPr="004E19AE" w:rsidRDefault="004E19AE" w:rsidP="004E19AE">
            <w:r w:rsidRPr="004E19AE">
              <w:t>Дешёвая солнечная энергия выгодна для удалённых и изолиро</w:t>
            </w:r>
            <w:r w:rsidRPr="004E19AE">
              <w:lastRenderedPageBreak/>
              <w:t>ванных территорий (Арктика, Дальний Восток), где завоз топлива дорог.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7EB3A" w14:textId="4AF142A4" w:rsidR="004E19AE" w:rsidRPr="004E19AE" w:rsidRDefault="004E19AE" w:rsidP="004E19AE">
            <w:r w:rsidRPr="004E19AE">
              <w:lastRenderedPageBreak/>
              <w:t>LCOE солнца — 40 </w:t>
            </w:r>
            <m:oMath>
              <m:r>
                <w:rPr>
                  <w:rFonts w:ascii="Cambria Math" w:hAnsi="Cambria Math"/>
                </w:rPr>
                <m:t>/</m:t>
              </m:r>
              <m:r>
                <m:rPr>
                  <m:nor/>
                </m:rPr>
                <m:t>МВт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nor/>
                </m:rPr>
                <m:t>ч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w:proofErr w:type="spellStart"/>
                  <m:r>
                    <m:rPr>
                      <m:nor/>
                    </m:rPr>
                    <m:t>дешевлеугляиатома</m:t>
                  </m:r>
                  <w:proofErr w:type="spellEnd"/>
                </m:e>
              </m:d>
              <m:r>
                <w:rPr>
                  <w:rFonts w:ascii="Cambria Math" w:hAnsi="Cambria Math"/>
                </w:rPr>
                <m:t>;</m:t>
              </m:r>
              <m:r>
                <m:rPr>
                  <m:nor/>
                </m:rPr>
                <m:t>модулик</m:t>
              </m:r>
              <m:r>
                <w:rPr>
                  <w:rFonts w:ascii="Cambria Math" w:hAnsi="Cambria Math"/>
                </w:rPr>
                <m:t>2030</m:t>
              </m:r>
              <m:r>
                <m:rPr>
                  <m:nor/>
                </m:rPr>
                <m:t>—</m:t>
              </m:r>
              <m:r>
                <w:rPr>
                  <w:rFonts w:ascii="Cambria Math" w:hAnsi="Cambria Math"/>
                </w:rPr>
                <m:t>0,10</m:t>
              </m:r>
              <m:r>
                <m:rPr>
                  <m:nor/>
                </m:rPr>
                <m:t>–</m:t>
              </m:r>
              <m:r>
                <w:rPr>
                  <w:rFonts w:ascii="Cambria Math" w:hAnsi="Cambria Math"/>
                </w:rPr>
                <m:t>0,19</m:t>
              </m:r>
            </m:oMath>
            <w:r w:rsidRPr="004E19AE">
              <w:t>/Вт; падение стоимости на 90% за 2009–2019.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7B7C9" w14:textId="77777777" w:rsidR="004E19AE" w:rsidRPr="004E19AE" w:rsidRDefault="004E19AE" w:rsidP="004E19AE">
            <w:r w:rsidRPr="004E19AE">
              <w:t xml:space="preserve">Замедление глобального спроса на газ и уголь ударит по </w:t>
            </w:r>
            <w:r w:rsidRPr="004E19AE">
              <w:lastRenderedPageBreak/>
              <w:t>экспорту; отсутствие собственного масштабного производства компонентов удорожает проекты.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257D7" w14:textId="77777777" w:rsidR="004E19AE" w:rsidRPr="004E19AE" w:rsidRDefault="004E19AE" w:rsidP="004E19AE">
            <w:r w:rsidRPr="004E19AE">
              <w:rPr>
                <w:b/>
                <w:bCs/>
              </w:rPr>
              <w:lastRenderedPageBreak/>
              <w:t>Экономический:</w:t>
            </w:r>
            <w:r w:rsidRPr="004E19AE">
              <w:t> пошлины; дефицит серебра и теллура; дороговизна HJT; замедление роста ВИЭ в США и ЕС. </w:t>
            </w:r>
            <w:r w:rsidRPr="004E19AE">
              <w:rPr>
                <w:b/>
                <w:bCs/>
              </w:rPr>
              <w:t>Экологический:</w:t>
            </w:r>
            <w:r w:rsidRPr="004E19AE">
              <w:t xml:space="preserve"> производство в </w:t>
            </w:r>
            <w:r w:rsidRPr="004E19AE">
              <w:lastRenderedPageBreak/>
              <w:t>«грязных» регионах даёт +42,9–91,7% выбросов к 2060; токсичность кадмия и перовскитов.</w:t>
            </w:r>
          </w:p>
        </w:tc>
      </w:tr>
      <w:tr w:rsidR="004E19AE" w:rsidRPr="004E19AE" w14:paraId="12FB89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03D80" w14:textId="77777777" w:rsidR="004E19AE" w:rsidRPr="004E19AE" w:rsidRDefault="004E19AE" w:rsidP="004E19AE">
            <w:r w:rsidRPr="004E19AE"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43311" w14:textId="77777777" w:rsidR="004E19AE" w:rsidRPr="004E19AE" w:rsidRDefault="004E19AE" w:rsidP="004E19AE">
            <w:r w:rsidRPr="004E19AE">
              <w:rPr>
                <w:b/>
                <w:bCs/>
              </w:rPr>
              <w:t>Увеличение КПД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7C54E" w14:textId="77777777" w:rsidR="004E19AE" w:rsidRPr="004E19AE" w:rsidRDefault="004E19AE" w:rsidP="004E19AE">
            <w:r w:rsidRPr="004E19AE">
              <w:t>Рост КПД позволяет эффективнее использовать солнечный потенциал юга России и снижает потребность в площадях под станции.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908AC" w14:textId="77777777" w:rsidR="004E19AE" w:rsidRPr="004E19AE" w:rsidRDefault="004E19AE" w:rsidP="004E19AE">
            <w:r w:rsidRPr="004E19AE">
              <w:t xml:space="preserve">Al-BSF (17–20%) → PERC (~24%) → </w:t>
            </w:r>
            <w:proofErr w:type="spellStart"/>
            <w:r w:rsidRPr="004E19AE">
              <w:t>TOPCon</w:t>
            </w:r>
            <w:proofErr w:type="spellEnd"/>
            <w:r w:rsidRPr="004E19AE">
              <w:t xml:space="preserve"> (26,4%) → HJT (26,8%) → тандем (34,6% в лаборатории); рост КПД дал −14,3% к </w:t>
            </w:r>
            <w:proofErr w:type="spellStart"/>
            <w:r w:rsidRPr="004E19AE">
              <w:t>углеродоёмкости</w:t>
            </w:r>
            <w:proofErr w:type="spellEnd"/>
            <w:r w:rsidRPr="004E19AE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E5EF7" w14:textId="77777777" w:rsidR="004E19AE" w:rsidRPr="004E19AE" w:rsidRDefault="004E19AE" w:rsidP="004E19AE">
            <w:r w:rsidRPr="004E19AE">
              <w:t>Технологическое отставание: Россия не входит в лидеры по производству высокоэффективных элементов (HJT, тандемы); зависимость от импорта.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DF137" w14:textId="77777777" w:rsidR="004E19AE" w:rsidRPr="004E19AE" w:rsidRDefault="004E19AE" w:rsidP="004E19AE">
            <w:r w:rsidRPr="004E19AE">
              <w:rPr>
                <w:b/>
                <w:bCs/>
              </w:rPr>
              <w:t>Экономический:</w:t>
            </w:r>
            <w:r w:rsidRPr="004E19AE">
              <w:t> HJT дороже (360 млн $/ГВт); индий и серебро удорожают; переоснащение заводов. </w:t>
            </w:r>
            <w:r w:rsidRPr="004E19AE">
              <w:rPr>
                <w:b/>
                <w:bCs/>
              </w:rPr>
              <w:t>Экологический:</w:t>
            </w:r>
            <w:r w:rsidRPr="004E19AE">
              <w:t> кадмий токсичен; перовскиты нестабильны и токсичны.</w:t>
            </w:r>
          </w:p>
        </w:tc>
      </w:tr>
      <w:tr w:rsidR="004E19AE" w:rsidRPr="004E19AE" w14:paraId="51A0E7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2CD4B" w14:textId="77777777" w:rsidR="004E19AE" w:rsidRPr="004E19AE" w:rsidRDefault="004E19AE" w:rsidP="004E19AE">
            <w:r w:rsidRPr="004E19AE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A9BC5" w14:textId="77777777" w:rsidR="004E19AE" w:rsidRPr="004E19AE" w:rsidRDefault="004E19AE" w:rsidP="004E19AE">
            <w:r w:rsidRPr="004E19AE">
              <w:rPr>
                <w:b/>
                <w:bCs/>
              </w:rPr>
              <w:t>Совершение научного прорыва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6D97D" w14:textId="77777777" w:rsidR="004E19AE" w:rsidRPr="004E19AE" w:rsidRDefault="004E19AE" w:rsidP="004E19AE">
            <w:r w:rsidRPr="004E19AE">
              <w:t xml:space="preserve">Распределённая генерация и накопители полезны </w:t>
            </w:r>
            <w:r w:rsidRPr="004E19AE">
              <w:lastRenderedPageBreak/>
              <w:t>для энергоснабжения удалённых регионов России; снижают потери в сетях.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2733E" w14:textId="77777777" w:rsidR="004E19AE" w:rsidRPr="004E19AE" w:rsidRDefault="004E19AE" w:rsidP="004E19AE">
            <w:r w:rsidRPr="004E19AE">
              <w:lastRenderedPageBreak/>
              <w:t>Тандемные перовскит-кремниевые элементы; тонкие плёнки (</w:t>
            </w:r>
            <w:proofErr w:type="spellStart"/>
            <w:r w:rsidRPr="004E19AE">
              <w:t>CdTe</w:t>
            </w:r>
            <w:proofErr w:type="spellEnd"/>
            <w:r w:rsidRPr="004E19AE">
              <w:t xml:space="preserve">, CIGS, </w:t>
            </w:r>
            <w:proofErr w:type="spellStart"/>
            <w:r w:rsidRPr="004E19AE">
              <w:t>GaAs</w:t>
            </w:r>
            <w:proofErr w:type="spellEnd"/>
            <w:r w:rsidRPr="004E19AE">
              <w:t>); зелёный водород (ALK, PEM, SOEC, AEM).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BDB68" w14:textId="77777777" w:rsidR="004E19AE" w:rsidRPr="004E19AE" w:rsidRDefault="004E19AE" w:rsidP="004E19AE">
            <w:r w:rsidRPr="004E19AE">
              <w:t>Отставание в разработке накопителей и распреде</w:t>
            </w:r>
            <w:r w:rsidRPr="004E19AE">
              <w:lastRenderedPageBreak/>
              <w:t>лённых систем; санкции ограничивают доступ к редкоземельным материалам и технологиям.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CDC01" w14:textId="77777777" w:rsidR="004E19AE" w:rsidRPr="004E19AE" w:rsidRDefault="004E19AE" w:rsidP="004E19AE">
            <w:r w:rsidRPr="004E19AE">
              <w:rPr>
                <w:b/>
                <w:bCs/>
              </w:rPr>
              <w:lastRenderedPageBreak/>
              <w:t>Экономический:</w:t>
            </w:r>
            <w:r w:rsidRPr="004E19AE">
              <w:t> </w:t>
            </w:r>
            <w:proofErr w:type="spellStart"/>
            <w:r w:rsidRPr="004E19AE">
              <w:t>мелкосерийность</w:t>
            </w:r>
            <w:proofErr w:type="spellEnd"/>
            <w:r w:rsidRPr="004E19AE">
              <w:t xml:space="preserve"> и дороговизна; риск инвестиций в НИОКР; новая инфраструктура и кадры. </w:t>
            </w:r>
            <w:r w:rsidRPr="004E19AE">
              <w:rPr>
                <w:b/>
                <w:bCs/>
              </w:rPr>
              <w:t>Экологиче</w:t>
            </w:r>
            <w:r w:rsidRPr="004E19AE">
              <w:rPr>
                <w:b/>
                <w:bCs/>
              </w:rPr>
              <w:lastRenderedPageBreak/>
              <w:t>ский:</w:t>
            </w:r>
            <w:r w:rsidRPr="004E19AE">
              <w:t> токсичность и нестабильность перовскитов; кадмий и дефицит индия; временный рост выбросов при масштабировании.</w:t>
            </w:r>
          </w:p>
        </w:tc>
      </w:tr>
      <w:tr w:rsidR="004E19AE" w:rsidRPr="004E19AE" w14:paraId="7DED57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1C13B" w14:textId="77777777" w:rsidR="004E19AE" w:rsidRPr="004E19AE" w:rsidRDefault="004E19AE" w:rsidP="004E19AE">
            <w:r w:rsidRPr="004E19AE"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EAF08" w14:textId="77777777" w:rsidR="004E19AE" w:rsidRPr="004E19AE" w:rsidRDefault="004E19AE" w:rsidP="004E19AE">
            <w:r w:rsidRPr="004E19AE">
              <w:rPr>
                <w:b/>
                <w:bCs/>
              </w:rPr>
              <w:t>Увеличение долговечности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D7B07" w14:textId="77777777" w:rsidR="004E19AE" w:rsidRPr="004E19AE" w:rsidRDefault="004E19AE" w:rsidP="004E19AE">
            <w:r w:rsidRPr="004E19AE">
              <w:t>Системы за счётчиком (BTM) и накопители повышают надёжность энергоснабжения в изолированных районах; снижают нагрузку на старые сети.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5B36E" w14:textId="77777777" w:rsidR="004E19AE" w:rsidRPr="004E19AE" w:rsidRDefault="004E19AE" w:rsidP="004E19AE">
            <w:r w:rsidRPr="004E19AE">
              <w:t>Срок службы электролизёров — 10–20 лет; тандем после года на улице сохраняет ≥80% эффективности; панели — 25 лет; переработка — 100% к 2050.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14E69" w14:textId="77777777" w:rsidR="004E19AE" w:rsidRPr="004E19AE" w:rsidRDefault="004E19AE" w:rsidP="004E19AE">
            <w:r w:rsidRPr="004E19AE">
              <w:t>Неопределённость темпов перехода из-за политических и геополитических факторов; риск отставания в стандартах и сертификации.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A0EF9" w14:textId="77777777" w:rsidR="004E19AE" w:rsidRPr="004E19AE" w:rsidRDefault="004E19AE" w:rsidP="004E19AE">
            <w:r w:rsidRPr="004E19AE">
              <w:rPr>
                <w:b/>
                <w:bCs/>
              </w:rPr>
              <w:t>Экономический:</w:t>
            </w:r>
            <w:r w:rsidRPr="004E19AE">
              <w:t> дорогие материалы и покрытия; торможение замены старых панелей; инвестиции в переработку. </w:t>
            </w:r>
            <w:r w:rsidRPr="004E19AE">
              <w:rPr>
                <w:b/>
                <w:bCs/>
              </w:rPr>
              <w:t>Экологический:</w:t>
            </w:r>
            <w:r w:rsidRPr="004E19AE">
              <w:t> свалки дают +5,3–13,8% выбросов; недолговечные перовскиты увеличивают отходы.</w:t>
            </w:r>
          </w:p>
        </w:tc>
      </w:tr>
    </w:tbl>
    <w:p w14:paraId="154F0CAD" w14:textId="77777777" w:rsidR="004E19AE" w:rsidRPr="004E19AE" w:rsidRDefault="004E19AE" w:rsidP="004E19AE">
      <w:r w:rsidRPr="004E19AE">
        <w:rPr>
          <w:b/>
          <w:bCs/>
        </w:rPr>
        <w:t>Вывод</w:t>
      </w:r>
      <w:proofErr w:type="gramStart"/>
      <w:r w:rsidRPr="004E19AE">
        <w:rPr>
          <w:b/>
          <w:bCs/>
        </w:rPr>
        <w:t>:</w:t>
      </w:r>
      <w:r w:rsidRPr="004E19AE">
        <w:t> Для</w:t>
      </w:r>
      <w:proofErr w:type="gramEnd"/>
      <w:r w:rsidRPr="004E19AE">
        <w:t xml:space="preserve"> мира к 2050–2070 гг. солнечная энергетика становится основой — до 40% спроса и 8,52 ТВт мощности. Для России главная польза — дешёвая энергия для удалённых территорий и экспорт углеводородов в переходный период; главные риски — технологическое отставание, санкции и падение экспортных доходов.</w:t>
      </w:r>
    </w:p>
    <w:p w14:paraId="14A60638" w14:textId="77777777" w:rsidR="004E19AE" w:rsidRPr="004E19AE" w:rsidRDefault="004E19AE" w:rsidP="004E19AE">
      <w:r w:rsidRPr="004E19AE">
        <w:rPr>
          <w:b/>
          <w:bCs/>
        </w:rPr>
        <w:t>Ссылки:</w:t>
      </w:r>
    </w:p>
    <w:p w14:paraId="40493CC1" w14:textId="77777777" w:rsidR="004E19AE" w:rsidRPr="004E19AE" w:rsidRDefault="004E19AE" w:rsidP="004E19AE">
      <w:pPr>
        <w:numPr>
          <w:ilvl w:val="0"/>
          <w:numId w:val="1"/>
        </w:numPr>
      </w:pPr>
      <w:hyperlink r:id="rId5" w:tgtFrame="_blank" w:history="1">
        <w:r w:rsidRPr="004E19AE">
          <w:rPr>
            <w:rStyle w:val="ac"/>
          </w:rPr>
          <w:t>https://www.nature.com/articles/s43247-023-01006-x</w:t>
        </w:r>
      </w:hyperlink>
    </w:p>
    <w:p w14:paraId="54AC8A9C" w14:textId="77777777" w:rsidR="004E19AE" w:rsidRPr="004E19AE" w:rsidRDefault="004E19AE" w:rsidP="004E19AE">
      <w:pPr>
        <w:numPr>
          <w:ilvl w:val="0"/>
          <w:numId w:val="1"/>
        </w:numPr>
      </w:pPr>
      <w:hyperlink r:id="rId6" w:tgtFrame="_blank" w:history="1">
        <w:r w:rsidRPr="004E19AE">
          <w:rPr>
            <w:rStyle w:val="ac"/>
          </w:rPr>
          <w:t>https://books.rsc.org/books/edited-volume/2396/chapter/8782233/Development-and-Techno-economic-Analysis-of</w:t>
        </w:r>
      </w:hyperlink>
    </w:p>
    <w:p w14:paraId="7A4E5BFC" w14:textId="77777777" w:rsidR="004E19AE" w:rsidRPr="004E19AE" w:rsidRDefault="004E19AE" w:rsidP="004E19AE">
      <w:pPr>
        <w:numPr>
          <w:ilvl w:val="0"/>
          <w:numId w:val="1"/>
        </w:numPr>
      </w:pPr>
      <w:hyperlink r:id="rId7" w:tgtFrame="_blank" w:history="1">
        <w:r w:rsidRPr="004E19AE">
          <w:rPr>
            <w:rStyle w:val="ac"/>
          </w:rPr>
          <w:t>https://cyberleninka.ru/article/n/dinamika-mirovogo-energopotrebleniya-v-xx-xxi-vv-i-prognoz-do-2100-goda/viewer</w:t>
        </w:r>
      </w:hyperlink>
    </w:p>
    <w:p w14:paraId="69918800" w14:textId="77777777" w:rsidR="00774D3A" w:rsidRDefault="00774D3A"/>
    <w:sectPr w:rsidR="00774D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654C8"/>
    <w:multiLevelType w:val="multilevel"/>
    <w:tmpl w:val="8950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576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51"/>
    <w:rsid w:val="001B2551"/>
    <w:rsid w:val="0041311A"/>
    <w:rsid w:val="004E19AE"/>
    <w:rsid w:val="006954D9"/>
    <w:rsid w:val="00774D3A"/>
    <w:rsid w:val="00E8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718FE4-640E-490D-BE4A-5FB86CBED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2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55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55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25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25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25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2551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2551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25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25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25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25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2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2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2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2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25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25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255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25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2551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1B2551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E19A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E19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yberleninka.ru/article/n/dinamika-mirovogo-energopotrebleniya-v-xx-xxi-vv-i-prognoz-do-2100-goda/view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oks.rsc.org/books/edited-volume/2396/chapter/8782233/Development-and-Techno-economic-Analysis-of" TargetMode="External"/><Relationship Id="rId5" Type="http://schemas.openxmlformats.org/officeDocument/2006/relationships/hyperlink" Target="https://www.nature.com/articles/s43247-023-01006-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632</Words>
  <Characters>3604</Characters>
  <Application>Microsoft Office Word</Application>
  <DocSecurity>0</DocSecurity>
  <Lines>30</Lines>
  <Paragraphs>8</Paragraphs>
  <ScaleCrop>false</ScaleCrop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Н</dc:creator>
  <cp:keywords/>
  <dc:description/>
  <cp:lastModifiedBy>Матвей Н</cp:lastModifiedBy>
  <cp:revision>2</cp:revision>
  <dcterms:created xsi:type="dcterms:W3CDTF">2026-09-21T10:53:00Z</dcterms:created>
  <dcterms:modified xsi:type="dcterms:W3CDTF">2026-09-21T10:54:00Z</dcterms:modified>
</cp:coreProperties>
</file>