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1875"/>
        <w:gridCol w:w="4199"/>
        <w:gridCol w:w="2873"/>
      </w:tblGrid>
      <w:tr w:rsidR="008A52C2" w:rsidRPr="008A52C2" w14:paraId="6C608C17" w14:textId="77777777" w:rsidTr="008A52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C1C74" w14:textId="77777777" w:rsidR="008A52C2" w:rsidRPr="008A52C2" w:rsidRDefault="008A52C2" w:rsidP="008A52C2">
            <w:r w:rsidRPr="008A52C2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C6249" w14:textId="77777777" w:rsidR="008A52C2" w:rsidRPr="008A52C2" w:rsidRDefault="008A52C2" w:rsidP="008A52C2">
            <w:r w:rsidRPr="008A52C2"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363AF" w14:textId="77777777" w:rsidR="008A52C2" w:rsidRPr="008A52C2" w:rsidRDefault="008A52C2" w:rsidP="008A52C2">
            <w:r w:rsidRPr="008A52C2">
              <w:t>Ключевое решение (к 2050–2070)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41042" w14:textId="77777777" w:rsidR="008A52C2" w:rsidRPr="008A52C2" w:rsidRDefault="008A52C2" w:rsidP="008A52C2">
            <w:r w:rsidRPr="008A52C2">
              <w:t>Главные риски</w:t>
            </w:r>
          </w:p>
        </w:tc>
      </w:tr>
      <w:tr w:rsidR="008A52C2" w:rsidRPr="008A52C2" w14:paraId="120F08DA" w14:textId="77777777" w:rsidTr="008A5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B3F92" w14:textId="77777777" w:rsidR="008A52C2" w:rsidRPr="008A52C2" w:rsidRDefault="008A52C2" w:rsidP="008A52C2">
            <w:r w:rsidRPr="008A52C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AF90" w14:textId="77777777" w:rsidR="008A52C2" w:rsidRPr="008A52C2" w:rsidRDefault="008A52C2" w:rsidP="008A52C2">
            <w:r w:rsidRPr="008A52C2">
              <w:rPr>
                <w:b/>
                <w:bCs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5F3E4" w14:textId="77777777" w:rsidR="008A52C2" w:rsidRPr="008A52C2" w:rsidRDefault="008A52C2" w:rsidP="008A52C2">
            <w:r w:rsidRPr="008A52C2">
              <w:t>Рост энергопотребления до 200 000–250 000 ТВт·ч к 2050–2080 с стабилизацией. Солнечная энергетика — 40% мирового спроса к 2060; мощность PV — 8,52 ТВт к 2050. Приоритет — установка в странах с «грязной» энергетикой. Драйверы — Африка и Индия.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A3DBC" w14:textId="77777777" w:rsidR="008A52C2" w:rsidRPr="008A52C2" w:rsidRDefault="008A52C2" w:rsidP="008A52C2">
            <w:r w:rsidRPr="008A52C2">
              <w:rPr>
                <w:b/>
                <w:bCs/>
              </w:rPr>
              <w:t>Экономический:</w:t>
            </w:r>
            <w:r w:rsidRPr="008A52C2">
              <w:t> хранение удорожает на 9,4–33,1%; углеродные пошлины — 6,0–9,8 $/кВт; нестабильность в Африке. </w:t>
            </w:r>
            <w:r w:rsidRPr="008A52C2">
              <w:rPr>
                <w:b/>
                <w:bCs/>
              </w:rPr>
              <w:t>Экологический:</w:t>
            </w:r>
            <w:r w:rsidRPr="008A52C2">
              <w:t> рост землепользования до 85–202 тыс. км²; выбросы при производстве и утилизации.</w:t>
            </w:r>
          </w:p>
        </w:tc>
      </w:tr>
      <w:tr w:rsidR="008A52C2" w:rsidRPr="008A52C2" w14:paraId="24B59F2A" w14:textId="77777777" w:rsidTr="008A5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34578" w14:textId="77777777" w:rsidR="008A52C2" w:rsidRPr="008A52C2" w:rsidRDefault="008A52C2" w:rsidP="008A52C2">
            <w:r w:rsidRPr="008A52C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D0839" w14:textId="77777777" w:rsidR="008A52C2" w:rsidRPr="008A52C2" w:rsidRDefault="008A52C2" w:rsidP="008A52C2">
            <w:r w:rsidRPr="008A52C2">
              <w:rPr>
                <w:b/>
                <w:bCs/>
              </w:rPr>
              <w:t>Дешёвая генерация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167AB" w14:textId="6DFB403C" w:rsidR="008A52C2" w:rsidRPr="008A52C2" w:rsidRDefault="008A52C2" w:rsidP="008A52C2">
            <w:r w:rsidRPr="008A52C2">
              <w:t>Стоимость солнечной генерации упала на 90% за 2009–2019; LCOE — 40 </w:t>
            </w:r>
            <m:oMath>
              <m:r>
                <w:rPr>
                  <w:rFonts w:ascii="Cambria Math" w:hAnsi="Cambria Math"/>
                </w:rPr>
                <m:t>/</m:t>
              </m:r>
              <m:r>
                <m:rPr>
                  <m:nor/>
                </m:rPr>
                <m:t>МВт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ч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дешевлеугляиатома</m:t>
                  </m:r>
                </m:e>
              </m:d>
              <m:r>
                <w:rPr>
                  <w:rFonts w:ascii="Cambria Math" w:hAnsi="Cambria Math"/>
                </w:rPr>
                <m:t>;</m:t>
              </m:r>
              <m:r>
                <m:rPr>
                  <m:nor/>
                </m:rPr>
                <m:t>модулик</m:t>
              </m:r>
              <m:r>
                <w:rPr>
                  <w:rFonts w:ascii="Cambria Math" w:hAnsi="Cambria Math"/>
                </w:rPr>
                <m:t>2030</m:t>
              </m:r>
              <m:r>
                <m:rPr>
                  <m:nor/>
                </m:rPr>
                <m:t>—</m:t>
              </m:r>
              <m:r>
                <w:rPr>
                  <w:rFonts w:ascii="Cambria Math" w:hAnsi="Cambria Math"/>
                </w:rPr>
                <m:t>0,10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0,19</m:t>
              </m:r>
            </m:oMath>
            <w:r w:rsidRPr="008A52C2">
              <w:t>/Вт.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2F9C9" w14:textId="77777777" w:rsidR="008A52C2" w:rsidRPr="008A52C2" w:rsidRDefault="008A52C2" w:rsidP="008A52C2">
            <w:r w:rsidRPr="008A52C2">
              <w:rPr>
                <w:b/>
                <w:bCs/>
              </w:rPr>
              <w:t>Экономический:</w:t>
            </w:r>
            <w:r w:rsidRPr="008A52C2">
              <w:t> пошлины; дефицит серебра и теллура; дороговизна HJT; замедление роста ВИЭ в США и ЕС. </w:t>
            </w:r>
            <w:r w:rsidRPr="008A52C2">
              <w:rPr>
                <w:b/>
                <w:bCs/>
              </w:rPr>
              <w:t>Экологический:</w:t>
            </w:r>
            <w:r w:rsidRPr="008A52C2">
              <w:t> производство в «грязных» регионах даёт +42,9–91,7% выбросов к 2060; токсичность кадмия и перовскитов.</w:t>
            </w:r>
          </w:p>
        </w:tc>
      </w:tr>
      <w:tr w:rsidR="008A52C2" w:rsidRPr="008A52C2" w14:paraId="3B01097C" w14:textId="77777777" w:rsidTr="008A5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7CD92" w14:textId="77777777" w:rsidR="008A52C2" w:rsidRPr="008A52C2" w:rsidRDefault="008A52C2" w:rsidP="008A52C2">
            <w:r w:rsidRPr="008A52C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64689" w14:textId="77777777" w:rsidR="008A52C2" w:rsidRPr="008A52C2" w:rsidRDefault="008A52C2" w:rsidP="008A52C2">
            <w:r w:rsidRPr="008A52C2">
              <w:rPr>
                <w:b/>
                <w:bCs/>
              </w:rPr>
              <w:t>Увеличение КПД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CD036" w14:textId="6AC8814D" w:rsidR="008A52C2" w:rsidRPr="008A52C2" w:rsidRDefault="008A52C2" w:rsidP="008A52C2">
            <w:r w:rsidRPr="008A52C2">
              <w:t>Al-BSF (17–20%) → PERC (~24%) → TOPCon (26,4%) → HJT (26,8%) → тандем (34,6% в лаборатории). Рост КПД дал −14,3% к углеродоёмкости.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644E" w14:textId="77777777" w:rsidR="008A52C2" w:rsidRPr="008A52C2" w:rsidRDefault="008A52C2" w:rsidP="008A52C2">
            <w:r w:rsidRPr="008A52C2">
              <w:rPr>
                <w:b/>
                <w:bCs/>
              </w:rPr>
              <w:t>Экономический:</w:t>
            </w:r>
            <w:r w:rsidRPr="008A52C2">
              <w:t> HJT дороже (360 млн $/ГВт); индий и серебро удорожают; переоснащение заводов. </w:t>
            </w:r>
            <w:r w:rsidRPr="008A52C2">
              <w:rPr>
                <w:b/>
                <w:bCs/>
              </w:rPr>
              <w:t>Экологический:</w:t>
            </w:r>
            <w:r w:rsidRPr="008A52C2">
              <w:t> кадмий токсичен; перовскиты нестабильны и токсичны.</w:t>
            </w:r>
          </w:p>
        </w:tc>
      </w:tr>
      <w:tr w:rsidR="008A52C2" w:rsidRPr="008A52C2" w14:paraId="0D6F77D5" w14:textId="77777777" w:rsidTr="008A5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5AB58" w14:textId="77777777" w:rsidR="008A52C2" w:rsidRPr="008A52C2" w:rsidRDefault="008A52C2" w:rsidP="008A52C2">
            <w:r w:rsidRPr="008A52C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2BE1" w14:textId="77777777" w:rsidR="008A52C2" w:rsidRPr="008A52C2" w:rsidRDefault="008A52C2" w:rsidP="008A52C2">
            <w:r w:rsidRPr="008A52C2">
              <w:rPr>
                <w:b/>
                <w:bCs/>
              </w:rPr>
              <w:t>Совершение научного прорыва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F3992" w14:textId="2C19ADAF" w:rsidR="008A52C2" w:rsidRPr="008A52C2" w:rsidRDefault="008A52C2" w:rsidP="008A52C2">
            <w:r w:rsidRPr="008A52C2">
              <w:t>Тандемные перовскит-кремниевые элементы; тонкие плёнки (CdTe, CIGS, GaAs); зелёный водород (ALK, PEM, SOEC, AEM)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05FFF" w14:textId="77777777" w:rsidR="008A52C2" w:rsidRPr="008A52C2" w:rsidRDefault="008A52C2" w:rsidP="008A52C2">
            <w:r w:rsidRPr="008A52C2">
              <w:rPr>
                <w:b/>
                <w:bCs/>
              </w:rPr>
              <w:t>Экономический:</w:t>
            </w:r>
            <w:r w:rsidRPr="008A52C2">
              <w:t> мелкосерийность и дороговизна; риск инвестиций в НИОКР; новая инфраструктура и кадры. </w:t>
            </w:r>
            <w:r w:rsidRPr="008A52C2">
              <w:rPr>
                <w:b/>
                <w:bCs/>
              </w:rPr>
              <w:t>Экологический:</w:t>
            </w:r>
            <w:r w:rsidRPr="008A52C2">
              <w:t> токсичность и нестабильность перовскитов; кадмий и дефицит индия; временный рост выбросов при масштабировании.</w:t>
            </w:r>
          </w:p>
        </w:tc>
      </w:tr>
      <w:tr w:rsidR="008A52C2" w:rsidRPr="008A52C2" w14:paraId="197AA47A" w14:textId="77777777" w:rsidTr="008A52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4D0B8" w14:textId="77777777" w:rsidR="008A52C2" w:rsidRPr="008A52C2" w:rsidRDefault="008A52C2" w:rsidP="008A52C2">
            <w:r w:rsidRPr="008A52C2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7C802" w14:textId="77777777" w:rsidR="008A52C2" w:rsidRPr="008A52C2" w:rsidRDefault="008A52C2" w:rsidP="008A52C2">
            <w:r w:rsidRPr="008A52C2">
              <w:rPr>
                <w:b/>
                <w:bCs/>
              </w:rPr>
              <w:t>Увеличение долговечности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0D229" w14:textId="03E04E40" w:rsidR="008A52C2" w:rsidRPr="008A52C2" w:rsidRDefault="008A52C2" w:rsidP="008A52C2">
            <w:r w:rsidRPr="008A52C2">
              <w:t>Срок службы электролизёров — 10–20 лет; перовскиты недолговечны; тандем после года на улице сохраняет ≥80% эффективности. Панели — 25 лет; переработка — 100% к 20</w:t>
            </w:r>
            <w:r w:rsidR="004F4819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B5C25" w14:textId="77777777" w:rsidR="008A52C2" w:rsidRPr="008A52C2" w:rsidRDefault="008A52C2" w:rsidP="008A52C2">
            <w:r w:rsidRPr="008A52C2">
              <w:rPr>
                <w:b/>
                <w:bCs/>
              </w:rPr>
              <w:t>Экономический:</w:t>
            </w:r>
            <w:r w:rsidRPr="008A52C2">
              <w:t> дорогие материалы и покрытия; торможение замены старых панелей; инвестиции в переработку. </w:t>
            </w:r>
            <w:r w:rsidRPr="008A52C2">
              <w:rPr>
                <w:b/>
                <w:bCs/>
              </w:rPr>
              <w:t>Экологический:</w:t>
            </w:r>
            <w:r w:rsidRPr="008A52C2">
              <w:t> свалки дают +5,3–13,8% выбросов; недолговечные перовскиты увеличивают отходы.</w:t>
            </w:r>
          </w:p>
        </w:tc>
      </w:tr>
    </w:tbl>
    <w:p w14:paraId="4F2D0DF4" w14:textId="603179CB" w:rsidR="00774D3A" w:rsidRDefault="008A52C2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c"/>
          <w:rFonts w:ascii="Segoe UI" w:hAnsi="Segoe UI" w:cs="Segoe UI"/>
          <w:color w:val="0F1115"/>
          <w:shd w:val="clear" w:color="auto" w:fill="FFFFFF"/>
        </w:rPr>
        <w:t>Вывод:</w:t>
      </w:r>
      <w:r>
        <w:rPr>
          <w:rFonts w:ascii="Segoe UI" w:hAnsi="Segoe UI" w:cs="Segoe UI"/>
          <w:color w:val="0F1115"/>
          <w:shd w:val="clear" w:color="auto" w:fill="FFFFFF"/>
        </w:rPr>
        <w:t> К 2050–2070 годам солнечная энергетика станет основой мировой энергетики — до 40% спроса и 8,52 ТВт мощности. Ключевые драйверы: падение стоимости, рост КПД и научные прорывы (тандемы, перовскиты, зелёный водород). Главные барьеры — экономические (пошлины, дорогое хранение, дефицит материалов) и экологические (выбросы при производстве, токсичность, отходы). Успех зависит от международной координации и развития переработки.</w:t>
      </w:r>
    </w:p>
    <w:p w14:paraId="538F1BF2" w14:textId="77777777" w:rsidR="008A52C2" w:rsidRDefault="008A52C2">
      <w:pPr>
        <w:rPr>
          <w:rFonts w:ascii="Segoe UI" w:hAnsi="Segoe UI" w:cs="Segoe UI"/>
          <w:color w:val="0F1115"/>
          <w:shd w:val="clear" w:color="auto" w:fill="FFFFFF"/>
        </w:rPr>
      </w:pPr>
    </w:p>
    <w:p w14:paraId="5E0D5923" w14:textId="0F45CDA2" w:rsidR="008A52C2" w:rsidRDefault="008A52C2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r>
        <w:rPr>
          <w:rFonts w:ascii="Segoe UI" w:hAnsi="Segoe UI" w:cs="Segoe UI"/>
          <w:color w:val="0F1115"/>
          <w:shd w:val="clear" w:color="auto" w:fill="FFFFFF"/>
        </w:rPr>
        <w:t>Ссылки</w:t>
      </w:r>
      <w:r w:rsidRPr="008A52C2">
        <w:rPr>
          <w:rFonts w:ascii="Segoe UI" w:hAnsi="Segoe UI" w:cs="Segoe UI"/>
          <w:color w:val="0F1115"/>
          <w:shd w:val="clear" w:color="auto" w:fill="FFFFFF"/>
        </w:rPr>
        <w:t xml:space="preserve">: </w:t>
      </w:r>
      <w:hyperlink r:id="rId4" w:history="1">
        <w:r w:rsidRPr="003D2824">
          <w:rPr>
            <w:rStyle w:val="ad"/>
            <w:rFonts w:ascii="Segoe UI" w:hAnsi="Segoe UI" w:cs="Segoe UI"/>
            <w:shd w:val="clear" w:color="auto" w:fill="FFFFFF"/>
            <w:lang w:val="en-US"/>
          </w:rPr>
          <w:t>https</w:t>
        </w:r>
        <w:r w:rsidRPr="003D2824">
          <w:rPr>
            <w:rStyle w:val="ad"/>
            <w:rFonts w:ascii="Segoe UI" w:hAnsi="Segoe UI" w:cs="Segoe UI"/>
            <w:shd w:val="clear" w:color="auto" w:fill="FFFFFF"/>
          </w:rPr>
          <w:t>://</w:t>
        </w:r>
        <w:r w:rsidRPr="003D2824">
          <w:rPr>
            <w:rStyle w:val="ad"/>
            <w:rFonts w:ascii="Segoe UI" w:hAnsi="Segoe UI" w:cs="Segoe UI"/>
            <w:shd w:val="clear" w:color="auto" w:fill="FFFFFF"/>
            <w:lang w:val="en-US"/>
          </w:rPr>
          <w:t>www</w:t>
        </w:r>
        <w:r w:rsidRPr="003D2824">
          <w:rPr>
            <w:rStyle w:val="ad"/>
            <w:rFonts w:ascii="Segoe UI" w:hAnsi="Segoe UI" w:cs="Segoe UI"/>
            <w:shd w:val="clear" w:color="auto" w:fill="FFFFFF"/>
          </w:rPr>
          <w:t>.</w:t>
        </w:r>
        <w:r w:rsidRPr="003D2824">
          <w:rPr>
            <w:rStyle w:val="ad"/>
            <w:rFonts w:ascii="Segoe UI" w:hAnsi="Segoe UI" w:cs="Segoe UI"/>
            <w:shd w:val="clear" w:color="auto" w:fill="FFFFFF"/>
            <w:lang w:val="en-US"/>
          </w:rPr>
          <w:t>nature</w:t>
        </w:r>
        <w:r w:rsidRPr="003D2824">
          <w:rPr>
            <w:rStyle w:val="ad"/>
            <w:rFonts w:ascii="Segoe UI" w:hAnsi="Segoe UI" w:cs="Segoe UI"/>
            <w:shd w:val="clear" w:color="auto" w:fill="FFFFFF"/>
          </w:rPr>
          <w:t>.</w:t>
        </w:r>
        <w:r w:rsidRPr="003D2824">
          <w:rPr>
            <w:rStyle w:val="ad"/>
            <w:rFonts w:ascii="Segoe UI" w:hAnsi="Segoe UI" w:cs="Segoe UI"/>
            <w:shd w:val="clear" w:color="auto" w:fill="FFFFFF"/>
            <w:lang w:val="en-US"/>
          </w:rPr>
          <w:t>com</w:t>
        </w:r>
        <w:r w:rsidRPr="003D2824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3D2824">
          <w:rPr>
            <w:rStyle w:val="ad"/>
            <w:rFonts w:ascii="Segoe UI" w:hAnsi="Segoe UI" w:cs="Segoe UI"/>
            <w:shd w:val="clear" w:color="auto" w:fill="FFFFFF"/>
            <w:lang w:val="en-US"/>
          </w:rPr>
          <w:t>articles</w:t>
        </w:r>
        <w:r w:rsidRPr="003D2824">
          <w:rPr>
            <w:rStyle w:val="ad"/>
            <w:rFonts w:ascii="Segoe UI" w:hAnsi="Segoe UI" w:cs="Segoe UI"/>
            <w:shd w:val="clear" w:color="auto" w:fill="FFFFFF"/>
          </w:rPr>
          <w:t>/</w:t>
        </w:r>
        <w:r w:rsidRPr="003D2824">
          <w:rPr>
            <w:rStyle w:val="ad"/>
            <w:rFonts w:ascii="Segoe UI" w:hAnsi="Segoe UI" w:cs="Segoe UI"/>
            <w:shd w:val="clear" w:color="auto" w:fill="FFFFFF"/>
            <w:lang w:val="en-US"/>
          </w:rPr>
          <w:t>s</w:t>
        </w:r>
        <w:r w:rsidRPr="003D2824">
          <w:rPr>
            <w:rStyle w:val="ad"/>
            <w:rFonts w:ascii="Segoe UI" w:hAnsi="Segoe UI" w:cs="Segoe UI"/>
            <w:shd w:val="clear" w:color="auto" w:fill="FFFFFF"/>
          </w:rPr>
          <w:t>43247-023-01006-</w:t>
        </w:r>
        <w:r w:rsidRPr="003D2824">
          <w:rPr>
            <w:rStyle w:val="ad"/>
            <w:rFonts w:ascii="Segoe UI" w:hAnsi="Segoe UI" w:cs="Segoe UI"/>
            <w:shd w:val="clear" w:color="auto" w:fill="FFFFFF"/>
            <w:lang w:val="en-US"/>
          </w:rPr>
          <w:t>x</w:t>
        </w:r>
      </w:hyperlink>
      <w:r w:rsidRPr="008A52C2"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6C3BA129" w14:textId="5C2E5C47" w:rsidR="008A52C2" w:rsidRDefault="008A52C2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hyperlink r:id="rId5" w:history="1">
        <w:r w:rsidRPr="003D2824">
          <w:rPr>
            <w:rStyle w:val="ad"/>
            <w:rFonts w:ascii="Segoe UI" w:hAnsi="Segoe UI" w:cs="Segoe UI"/>
            <w:shd w:val="clear" w:color="auto" w:fill="FFFFFF"/>
            <w:lang w:val="en-US"/>
          </w:rPr>
          <w:t>https://books.rsc.org/books/edited-volume/2396/chapter/8782233/Development-and-Techno-economic-Analysis-of</w:t>
        </w:r>
      </w:hyperlink>
    </w:p>
    <w:p w14:paraId="538BD9CA" w14:textId="760BE561" w:rsidR="008A52C2" w:rsidRDefault="008A52C2">
      <w:pPr>
        <w:rPr>
          <w:rFonts w:ascii="Segoe UI" w:hAnsi="Segoe UI" w:cs="Segoe UI"/>
          <w:color w:val="0F1115"/>
          <w:shd w:val="clear" w:color="auto" w:fill="FFFFFF"/>
          <w:lang w:val="en-US"/>
        </w:rPr>
      </w:pPr>
      <w:hyperlink r:id="rId6" w:history="1">
        <w:r w:rsidRPr="003D2824">
          <w:rPr>
            <w:rStyle w:val="ad"/>
            <w:rFonts w:ascii="Segoe UI" w:hAnsi="Segoe UI" w:cs="Segoe UI"/>
            <w:shd w:val="clear" w:color="auto" w:fill="FFFFFF"/>
            <w:lang w:val="en-US"/>
          </w:rPr>
          <w:t>https://cyberleninka.ru/article/n/dinamika-mirovogo-energopotrebleniya-v-xx-xxi-vv-i-prognoz-do-2100-goda/viewer</w:t>
        </w:r>
      </w:hyperlink>
    </w:p>
    <w:p w14:paraId="1AEB565E" w14:textId="77777777" w:rsidR="008A52C2" w:rsidRPr="008A52C2" w:rsidRDefault="008A52C2">
      <w:pPr>
        <w:rPr>
          <w:rFonts w:ascii="Segoe UI" w:hAnsi="Segoe UI" w:cs="Segoe UI"/>
          <w:color w:val="0F1115"/>
          <w:shd w:val="clear" w:color="auto" w:fill="FFFFFF"/>
          <w:lang w:val="en-US"/>
        </w:rPr>
      </w:pPr>
    </w:p>
    <w:sectPr w:rsidR="008A52C2" w:rsidRPr="008A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C2"/>
    <w:rsid w:val="004F4819"/>
    <w:rsid w:val="006954D9"/>
    <w:rsid w:val="00774D3A"/>
    <w:rsid w:val="008A52C2"/>
    <w:rsid w:val="00E01CA0"/>
    <w:rsid w:val="00E8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F111D"/>
  <w15:chartTrackingRefBased/>
  <w15:docId w15:val="{94EBEE9F-0B7F-41C9-A8C1-F6E40B67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5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2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2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2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52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52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52C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52C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52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52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52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52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5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52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52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52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52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52C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A52C2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8A52C2"/>
    <w:rPr>
      <w:b/>
      <w:bCs/>
    </w:rPr>
  </w:style>
  <w:style w:type="character" w:styleId="ad">
    <w:name w:val="Hyperlink"/>
    <w:basedOn w:val="a0"/>
    <w:uiPriority w:val="99"/>
    <w:unhideWhenUsed/>
    <w:rsid w:val="008A52C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A5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yberleninka.ru/article/n/dinamika-mirovogo-energopotrebleniya-v-xx-xxi-vv-i-prognoz-do-2100-goda/viewer" TargetMode="External"/><Relationship Id="rId5" Type="http://schemas.openxmlformats.org/officeDocument/2006/relationships/hyperlink" Target="https://books.rsc.org/books/edited-volume/2396/chapter/8782233/Development-and-Techno-economic-Analysis-of" TargetMode="External"/><Relationship Id="rId4" Type="http://schemas.openxmlformats.org/officeDocument/2006/relationships/hyperlink" Target="https://www.nature.com/articles/s43247-023-01006-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Н</dc:creator>
  <cp:keywords/>
  <dc:description/>
  <cp:lastModifiedBy>Матвей Н</cp:lastModifiedBy>
  <cp:revision>2</cp:revision>
  <dcterms:created xsi:type="dcterms:W3CDTF">2026-09-19T04:51:00Z</dcterms:created>
  <dcterms:modified xsi:type="dcterms:W3CDTF">2026-09-19T04:59:00Z</dcterms:modified>
</cp:coreProperties>
</file>