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affe"/>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Pr>
          <w:rFonts w:ascii="Times New Roman" w:hAnsi="Times New Roman" w:cs="Times New Roman"/>
          <w:sz w:val="28"/>
          <w:szCs w:val="28"/>
          <w:lang w:val="en-US"/>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affe"/>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5E207C23" w14:textId="5EDFDC12" w:rsidR="00CA5AA9" w:rsidRPr="00CA5AA9" w:rsidRDefault="00D56EF6">
      <w:r>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System</w:t>
      </w:r>
      <w:r>
        <w:t>) -</w:t>
      </w:r>
      <w:r w:rsidRPr="00F86A87">
        <w:t xml:space="preserve"> система обнаружения вторжений</w:t>
      </w:r>
      <w:r>
        <w:t>.</w:t>
      </w:r>
    </w:p>
    <w:p w14:paraId="257C2C18" w14:textId="77777777"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System</w:t>
      </w:r>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5EC12DA3" w14:textId="77777777" w:rsidR="00F86A87" w:rsidRDefault="00F86A87" w:rsidP="00F86A87">
      <w:pPr>
        <w:pStyle w:val="afb"/>
      </w:pPr>
      <w:r>
        <w:rPr>
          <w:lang w:val="en-US"/>
        </w:rPr>
        <w:t>IDS</w:t>
      </w:r>
      <w:r w:rsidRPr="00F86A87">
        <w:t>/</w:t>
      </w:r>
      <w:r>
        <w:rPr>
          <w:lang w:val="en-US"/>
        </w:rPr>
        <w:t>IDS</w:t>
      </w:r>
      <w:r w:rsidRPr="00F86A87">
        <w:t xml:space="preserve"> </w:t>
      </w:r>
      <w:r>
        <w:t xml:space="preserve">является более сложным, комплексный решением, которое может сочетать в себе, анализ файлов, как это делает антивирус, контроль трафика и работу с правилами сетевого взаимодействия, как это делает </w:t>
      </w:r>
      <w:proofErr w:type="spellStart"/>
      <w:r>
        <w:t>вайервол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1BE48B4" w:rsidR="00A9670D" w:rsidRPr="00CC5DDC" w:rsidRDefault="00A9670D" w:rsidP="00A9670D">
      <w:pPr>
        <w:pStyle w:val="afb"/>
      </w:pPr>
      <w:r w:rsidRPr="00A9670D">
        <w:rPr>
          <w:lang w:val="en-US"/>
        </w:rPr>
        <w:t>NIDS</w:t>
      </w:r>
      <w:r>
        <w:t xml:space="preserve"> по своей идее очень похожа на </w:t>
      </w:r>
      <w:proofErr w:type="spellStart"/>
      <w:r>
        <w:t>вайервол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5436CC3A" w14:textId="7BF7C80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6EC1AC0D" w14:textId="5F0AD84B" w:rsidR="006A4D6F"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5101FBF9" w14:textId="77777777" w:rsidR="00CC5DDC" w:rsidRDefault="00CC5DDC" w:rsidP="00A9670D">
      <w:pPr>
        <w:pStyle w:val="afb"/>
      </w:pP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Systems)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F0338B3" w:rsidR="00CC5DDC"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t>Сигнатурой</w:t>
      </w:r>
      <w:r>
        <w:t xml:space="preserve"> называется шаблон уже известной угрозы.</w:t>
      </w:r>
    </w:p>
    <w:p w14:paraId="26ACE47C" w14:textId="21C23829" w:rsidR="00977249" w:rsidRDefault="00977249" w:rsidP="00977249">
      <w:pPr>
        <w:pStyle w:val="afb"/>
      </w:pPr>
      <w:r>
        <w:t xml:space="preserve">Помимо сигнатур выделяют </w:t>
      </w:r>
      <w:r w:rsidRPr="00977249">
        <w:rPr>
          <w:i/>
          <w:iCs/>
        </w:rPr>
        <w:t>состояния</w:t>
      </w:r>
      <w:r>
        <w:t xml:space="preserve">: в начальный момент времени считаем, что система в безопасном состоянии, но каждое действие в системе: </w:t>
      </w:r>
      <w:r>
        <w:lastRenderedPageBreak/>
        <w:t xml:space="preserve">несанкционированное действие пользователя, сетевое обращение, установка и активация ПО – особенно драйверов,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427207F9" w14:textId="1EA747BF" w:rsidR="00693B2E" w:rsidRDefault="00693B2E" w:rsidP="00C00626">
      <w:pPr>
        <w:pStyle w:val="afb"/>
        <w:numPr>
          <w:ilvl w:val="0"/>
          <w:numId w:val="30"/>
        </w:numPr>
      </w:pPr>
      <w:r>
        <w:t>Статистические – сопоставляют профиль штатной работы с текущим, используют статистические алгоритмы. Например, в текущем профиле повышена нагрузка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t xml:space="preserve">Поведенческие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t>Аномалии трафика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75708D7A" w14:textId="5071D823" w:rsidR="00CB3899" w:rsidRDefault="00CB3899" w:rsidP="00693B2E">
      <w:pPr>
        <w:pStyle w:val="afb"/>
      </w:pPr>
      <w:r>
        <w:t>Часто под аномальными представляют нейросети, их действительно можно применять, но только ими дело не ограничивается.</w:t>
      </w:r>
    </w:p>
    <w:p w14:paraId="0491DF81" w14:textId="77777777" w:rsidR="00D8547A" w:rsidRDefault="00D8547A" w:rsidP="00693B2E">
      <w:pPr>
        <w:pStyle w:val="afb"/>
      </w:pPr>
    </w:p>
    <w:p w14:paraId="5F76E185" w14:textId="0CD6DB0B" w:rsidR="00D8547A" w:rsidRDefault="00D8547A" w:rsidP="00D8547A">
      <w:pPr>
        <w:pStyle w:val="afd"/>
      </w:pPr>
      <w:bookmarkStart w:id="7" w:name="_Toc193063000"/>
      <w:r>
        <w:t>Сферы применения поиска аномалий.</w:t>
      </w:r>
      <w:bookmarkEnd w:id="7"/>
    </w:p>
    <w:p w14:paraId="0BE6773E" w14:textId="537E846D" w:rsidR="00D852A0" w:rsidRDefault="00D852A0" w:rsidP="00D8547A">
      <w:pPr>
        <w:pStyle w:val="afb"/>
      </w:pPr>
      <w:r>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w:t>
      </w:r>
      <w:r w:rsidR="00D852A0">
        <w:lastRenderedPageBreak/>
        <w:t>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48A2DB53" w:rsidR="007C3438" w:rsidRDefault="003C239C" w:rsidP="00D8547A">
      <w:pPr>
        <w:pStyle w:val="afb"/>
      </w:pPr>
      <w:r>
        <w:t>3</w:t>
      </w:r>
      <w:r w:rsidR="008077C3">
        <w:t>.</w:t>
      </w:r>
      <w:r w:rsidR="008077C3" w:rsidRPr="008077C3">
        <w:rPr>
          <w:i/>
          <w:iCs/>
        </w:rPr>
        <w:t>Рекоммендательн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31E3D886" w14:textId="77777777"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31EA8D3A"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038364BE" w14:textId="7E5A7210"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3063001"/>
      <w:r>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lastRenderedPageBreak/>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77777777" w:rsidR="003C239C" w:rsidRDefault="001D08DB" w:rsidP="00B9285E">
      <w:pPr>
        <w:pStyle w:val="afb"/>
      </w:pPr>
      <w:r>
        <w:t>Более того, доказано, что не существует панацеи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7777777" w:rsidR="003C239C"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представляют целые цепочки анализаторов, построенные для максимально эффективного использования вычислительных ресурсов – не забываем, что задача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2DFD7E60" w14:textId="77777777" w:rsidR="003C239C" w:rsidRDefault="003C239C">
      <w:pPr>
        <w:rPr>
          <w:rFonts w:ascii="Times New Roman" w:eastAsiaTheme="majorEastAsia" w:hAnsi="Times New Roman" w:cstheme="majorBidi"/>
          <w:spacing w:val="-10"/>
          <w:sz w:val="28"/>
          <w:szCs w:val="56"/>
        </w:rPr>
      </w:pPr>
      <w:r>
        <w:br w:type="page"/>
      </w:r>
    </w:p>
    <w:p w14:paraId="0C8D19D9" w14:textId="2350F810" w:rsidR="003C239C" w:rsidRDefault="00545D99" w:rsidP="003C239C">
      <w:pPr>
        <w:pStyle w:val="af9"/>
      </w:pPr>
      <w:bookmarkStart w:id="9" w:name="_Toc193063002"/>
      <w:r>
        <w:lastRenderedPageBreak/>
        <w:t xml:space="preserve">Прогнозирование </w:t>
      </w:r>
      <w:r w:rsidR="003C239C">
        <w:t>временных рядов</w:t>
      </w:r>
      <w:r>
        <w:t xml:space="preserve"> при решении задачи поиска аномалий.</w:t>
      </w:r>
      <w:bookmarkEnd w:id="9"/>
    </w:p>
    <w:p w14:paraId="388163B5" w14:textId="293E3E07" w:rsidR="00545D99" w:rsidRDefault="00545D99" w:rsidP="00545D99">
      <w:pPr>
        <w:pStyle w:val="afb"/>
      </w:pPr>
    </w:p>
    <w:p w14:paraId="20208989" w14:textId="1B48FDA0" w:rsidR="00545D99" w:rsidRDefault="00545D99">
      <w:pPr>
        <w:rPr>
          <w:rFonts w:ascii="Times New Roman" w:eastAsiaTheme="majorEastAsia" w:hAnsi="Times New Roman" w:cstheme="majorBidi"/>
          <w:spacing w:val="-10"/>
          <w:sz w:val="28"/>
          <w:szCs w:val="56"/>
        </w:rPr>
      </w:pPr>
      <w:r>
        <w:br w:type="page"/>
      </w:r>
    </w:p>
    <w:p w14:paraId="5A36A715" w14:textId="3F973A6F" w:rsidR="00545D99" w:rsidRDefault="00545D99" w:rsidP="00545D99">
      <w:pPr>
        <w:pStyle w:val="af9"/>
      </w:pPr>
      <w:bookmarkStart w:id="10" w:name="_Toc193063003"/>
      <w:r>
        <w:lastRenderedPageBreak/>
        <w:t>Рекомендательная система как система поиска аномалий.</w:t>
      </w:r>
      <w:bookmarkEnd w:id="10"/>
    </w:p>
    <w:p w14:paraId="332125DF" w14:textId="77777777" w:rsidR="003C239C" w:rsidRDefault="003C239C" w:rsidP="003C239C">
      <w:pPr>
        <w:pStyle w:val="afb"/>
      </w:pPr>
    </w:p>
    <w:p w14:paraId="2BEA5C02" w14:textId="2D866107" w:rsidR="00D56EF6" w:rsidRPr="00545D99" w:rsidRDefault="00CA5AA9" w:rsidP="00545D99">
      <w:pPr>
        <w:rPr>
          <w:rFonts w:ascii="Times New Roman" w:eastAsiaTheme="majorEastAsia" w:hAnsi="Times New Roman" w:cstheme="majorBidi"/>
          <w:spacing w:val="-10"/>
          <w:sz w:val="28"/>
          <w:szCs w:val="56"/>
        </w:rPr>
      </w:pPr>
      <w:r w:rsidRPr="006A4D6F">
        <w:br w:type="page"/>
      </w:r>
    </w:p>
    <w:p w14:paraId="6A6E5CA9" w14:textId="234E3106" w:rsidR="00D56EF6" w:rsidRPr="00F86A87" w:rsidRDefault="00F86A87" w:rsidP="00D56EF6">
      <w:pPr>
        <w:pStyle w:val="af9"/>
      </w:pPr>
      <w:bookmarkStart w:id="11" w:name="_Toc193063004"/>
      <w:r>
        <w:rPr>
          <w:lang w:val="en-US"/>
        </w:rPr>
        <w:lastRenderedPageBreak/>
        <w:t>SNORT</w:t>
      </w:r>
      <w:bookmarkEnd w:id="11"/>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2" w:name="_Toc193063005"/>
      <w:r>
        <w:lastRenderedPageBreak/>
        <w:t xml:space="preserve">Своя </w:t>
      </w:r>
      <w:r>
        <w:rPr>
          <w:lang w:val="en-US"/>
        </w:rPr>
        <w:t>IDS</w:t>
      </w:r>
      <w:r w:rsidRPr="00F86A87">
        <w:t xml:space="preserve"> </w:t>
      </w:r>
      <w:r>
        <w:t>система</w:t>
      </w:r>
      <w:bookmarkEnd w:id="12"/>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3" w:name="_Toc193063006"/>
      <w:r>
        <w:lastRenderedPageBreak/>
        <w:t>Сравнение</w:t>
      </w:r>
      <w:bookmarkEnd w:id="13"/>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affe"/>
        <w:spacing w:before="0" w:beforeAutospacing="0" w:after="0"/>
      </w:pPr>
      <w:r>
        <w:t>Перехват и обработка сетевого трафика.</w:t>
      </w:r>
    </w:p>
    <w:p w14:paraId="112C9328" w14:textId="77777777" w:rsidR="00BA2BD9" w:rsidRDefault="00BA2BD9" w:rsidP="00BA2BD9">
      <w:pPr>
        <w:pStyle w:val="affe"/>
        <w:spacing w:before="0" w:beforeAutospacing="0" w:after="0"/>
      </w:pPr>
      <w:r>
        <w:t>Типы сетевых атак. Подходы к их выявлению.</w:t>
      </w:r>
    </w:p>
    <w:p w14:paraId="7616213F" w14:textId="77777777" w:rsidR="00BA2BD9" w:rsidRDefault="00BA2BD9" w:rsidP="00BA2BD9">
      <w:pPr>
        <w:pStyle w:val="affe"/>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affe"/>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affe"/>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BA2BD9" w:rsidP="00E33130">
      <w:hyperlink r:id="rId8" w:history="1">
        <w:r w:rsidRPr="0046396B">
          <w:rPr>
            <w:rStyle w:val="aff0"/>
          </w:rPr>
          <w:t>https://www.icmm.ru/uchebnaya-deyatelnost/lektsii/514-ids</w:t>
        </w:r>
      </w:hyperlink>
    </w:p>
    <w:p w14:paraId="79CBEC66" w14:textId="01788B47" w:rsidR="00BA2BD9" w:rsidRDefault="00BA2BD9" w:rsidP="00E33130">
      <w:hyperlink r:id="rId9" w:history="1">
        <w:r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4" w:name="_Toc193063007"/>
      <w:r>
        <w:lastRenderedPageBreak/>
        <w:t>Литература</w:t>
      </w:r>
      <w:bookmarkEnd w:id="14"/>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Секреты и ложь. Безопасность данных в цифровом мире для блока литература</w:t>
      </w:r>
      <w:r w:rsidRPr="00A65486">
        <w:t xml:space="preserve">, </w:t>
      </w:r>
      <w:hyperlink r:id="rId10" w:history="1">
        <w:proofErr w:type="spellStart"/>
        <w:r w:rsidRPr="00A65486">
          <w:t>Шнайер</w:t>
        </w:r>
        <w:proofErr w:type="spellEnd"/>
        <w:r w:rsidRPr="00A65486">
          <w:t xml:space="preserve"> Брюс</w:t>
        </w:r>
      </w:hyperlink>
      <w:r w:rsidRPr="00A65486">
        <w:t>, 2003</w:t>
      </w:r>
    </w:p>
    <w:p w14:paraId="2E7A41F7" w14:textId="5E0A8CEA" w:rsidR="007A14E9" w:rsidRDefault="00A65486" w:rsidP="00F86A87">
      <w:pPr>
        <w:pStyle w:val="afb"/>
        <w:numPr>
          <w:ilvl w:val="0"/>
          <w:numId w:val="22"/>
        </w:numPr>
      </w:pPr>
      <w:hyperlink r:id="rId11" w:history="1">
        <w:r w:rsidRPr="00BD130A">
          <w:rPr>
            <w:rStyle w:val="aff0"/>
          </w:rPr>
          <w:t>https://selectel.ru/blog/ips-and-ids/</w:t>
        </w:r>
      </w:hyperlink>
    </w:p>
    <w:p w14:paraId="415D2F38" w14:textId="3362C7D0" w:rsidR="00F86A87" w:rsidRPr="00CB3899" w:rsidRDefault="00CB3899" w:rsidP="00F86A87">
      <w:pPr>
        <w:pStyle w:val="afb"/>
        <w:numPr>
          <w:ilvl w:val="0"/>
          <w:numId w:val="22"/>
        </w:numPr>
      </w:pPr>
      <w:hyperlink r:id="rId12" w:history="1">
        <w:r w:rsidRPr="001E6FA4">
          <w:rPr>
            <w:rStyle w:val="aff0"/>
          </w:rPr>
          <w:t>https://www.securityvision.ru/blog/obnaruzhenie-i-predotvrashchenie-vtorzheniy/</w:t>
        </w:r>
      </w:hyperlink>
    </w:p>
    <w:p w14:paraId="146D3885" w14:textId="17606A55" w:rsidR="00CB3899" w:rsidRPr="00F55AB9" w:rsidRDefault="00F55AB9" w:rsidP="00F86A87">
      <w:pPr>
        <w:pStyle w:val="afb"/>
        <w:numPr>
          <w:ilvl w:val="0"/>
          <w:numId w:val="22"/>
        </w:numPr>
      </w:pPr>
      <w:hyperlink r:id="rId13" w:history="1">
        <w:r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4" w:history="1">
        <w:r w:rsidRPr="00F55AB9">
          <w:t>kirillkosolapov</w:t>
        </w:r>
      </w:hyperlink>
      <w:r w:rsidRPr="00F55AB9">
        <w:t xml:space="preserve">, </w:t>
      </w:r>
      <w:r w:rsidRPr="00F55AB9">
        <w:t>https://habr.com/ru/articles/477206/</w:t>
      </w:r>
    </w:p>
    <w:p w14:paraId="2E98401D" w14:textId="146C5BE1" w:rsidR="00F55AB9" w:rsidRDefault="00F55AB9" w:rsidP="00F55AB9">
      <w:pPr>
        <w:pStyle w:val="afb"/>
        <w:numPr>
          <w:ilvl w:val="0"/>
          <w:numId w:val="22"/>
        </w:numPr>
      </w:pPr>
      <w:r>
        <w:t>«</w:t>
      </w:r>
      <w:r w:rsidRPr="00F55AB9">
        <w:t>9 подходов для выявления аномалий</w:t>
      </w:r>
      <w:r>
        <w:t>»</w:t>
      </w:r>
      <w:r w:rsidRPr="00F55AB9">
        <w:t xml:space="preserve">, </w:t>
      </w:r>
      <w:hyperlink r:id="rId15" w:history="1">
        <w:r w:rsidRPr="00F55AB9">
          <w:t>kirillkosolapov</w:t>
        </w:r>
      </w:hyperlink>
      <w:r w:rsidRPr="00F55AB9">
        <w:t xml:space="preserve"> </w:t>
      </w:r>
      <w:r w:rsidRPr="00F55AB9">
        <w:t>https://habr.com/ru/articles/477450/</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16"/>
      <w:headerReference w:type="default" r:id="rId17"/>
      <w:footerReference w:type="even" r:id="rId18"/>
      <w:footerReference w:type="default" r:id="rId19"/>
      <w:headerReference w:type="firs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367CC" w14:textId="77777777" w:rsidR="00F16237" w:rsidRDefault="00F16237" w:rsidP="003446B1">
      <w:pPr>
        <w:spacing w:after="0" w:line="240" w:lineRule="auto"/>
      </w:pPr>
      <w:r>
        <w:separator/>
      </w:r>
    </w:p>
  </w:endnote>
  <w:endnote w:type="continuationSeparator" w:id="0">
    <w:p w14:paraId="649C1D11" w14:textId="77777777" w:rsidR="00F16237" w:rsidRDefault="00F16237"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256DC" w14:textId="77777777" w:rsidR="00D000F4" w:rsidRDefault="00D000F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18790"/>
      <w:docPartObj>
        <w:docPartGallery w:val="Page Numbers (Bottom of Page)"/>
        <w:docPartUnique/>
      </w:docPartObj>
    </w:sdtPr>
    <w:sdtContent>
      <w:p w14:paraId="22772FA3" w14:textId="77777777" w:rsidR="00D000F4" w:rsidRDefault="00D000F4">
        <w:pPr>
          <w:pStyle w:val="a8"/>
          <w:jc w:val="center"/>
        </w:pPr>
        <w:r>
          <w:fldChar w:fldCharType="begin"/>
        </w:r>
        <w:r>
          <w:instrText>PAGE   \* MERGEFORMAT</w:instrText>
        </w:r>
        <w:r>
          <w:fldChar w:fldCharType="separate"/>
        </w:r>
        <w:r w:rsidR="003E033A">
          <w:rPr>
            <w:noProof/>
          </w:rPr>
          <w:t>2</w:t>
        </w:r>
        <w:r>
          <w:fldChar w:fldCharType="end"/>
        </w:r>
      </w:p>
    </w:sdtContent>
  </w:sdt>
  <w:p w14:paraId="516B3B68" w14:textId="77777777" w:rsidR="00D000F4" w:rsidRDefault="00D000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6035" w14:textId="77777777" w:rsidR="00D000F4" w:rsidRDefault="00D000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86BF0" w14:textId="77777777" w:rsidR="00F16237" w:rsidRDefault="00F16237" w:rsidP="003446B1">
      <w:pPr>
        <w:spacing w:after="0" w:line="240" w:lineRule="auto"/>
      </w:pPr>
      <w:r>
        <w:separator/>
      </w:r>
    </w:p>
  </w:footnote>
  <w:footnote w:type="continuationSeparator" w:id="0">
    <w:p w14:paraId="7B17F47E" w14:textId="77777777" w:rsidR="00F16237" w:rsidRDefault="00F16237"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AD8D" w14:textId="77777777" w:rsidR="00D000F4" w:rsidRDefault="00D000F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8A6B" w14:textId="77777777" w:rsidR="00D000F4" w:rsidRDefault="00D000F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D6A96" w14:textId="77777777" w:rsidR="00D000F4" w:rsidRDefault="00D000F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4980588">
    <w:abstractNumId w:val="11"/>
  </w:num>
  <w:num w:numId="2" w16cid:durableId="238709344">
    <w:abstractNumId w:val="23"/>
  </w:num>
  <w:num w:numId="3" w16cid:durableId="1300375867">
    <w:abstractNumId w:val="22"/>
  </w:num>
  <w:num w:numId="4" w16cid:durableId="201603400">
    <w:abstractNumId w:val="19"/>
  </w:num>
  <w:num w:numId="5" w16cid:durableId="824011770">
    <w:abstractNumId w:val="28"/>
  </w:num>
  <w:num w:numId="6" w16cid:durableId="817645048">
    <w:abstractNumId w:val="10"/>
  </w:num>
  <w:num w:numId="7" w16cid:durableId="1161850169">
    <w:abstractNumId w:val="7"/>
  </w:num>
  <w:num w:numId="8" w16cid:durableId="484124628">
    <w:abstractNumId w:val="9"/>
  </w:num>
  <w:num w:numId="9" w16cid:durableId="1249390012">
    <w:abstractNumId w:val="16"/>
  </w:num>
  <w:num w:numId="10" w16cid:durableId="1403259312">
    <w:abstractNumId w:val="21"/>
  </w:num>
  <w:num w:numId="11" w16cid:durableId="769394078">
    <w:abstractNumId w:val="29"/>
  </w:num>
  <w:num w:numId="12" w16cid:durableId="189728993">
    <w:abstractNumId w:val="4"/>
  </w:num>
  <w:num w:numId="13" w16cid:durableId="961108410">
    <w:abstractNumId w:val="5"/>
  </w:num>
  <w:num w:numId="14" w16cid:durableId="1182740053">
    <w:abstractNumId w:val="0"/>
  </w:num>
  <w:num w:numId="15" w16cid:durableId="2024554855">
    <w:abstractNumId w:val="6"/>
  </w:num>
  <w:num w:numId="16" w16cid:durableId="772483342">
    <w:abstractNumId w:val="27"/>
  </w:num>
  <w:num w:numId="17" w16cid:durableId="1064059049">
    <w:abstractNumId w:val="25"/>
  </w:num>
  <w:num w:numId="18" w16cid:durableId="481506618">
    <w:abstractNumId w:val="15"/>
  </w:num>
  <w:num w:numId="19" w16cid:durableId="1572808330">
    <w:abstractNumId w:val="18"/>
  </w:num>
  <w:num w:numId="20" w16cid:durableId="1567840708">
    <w:abstractNumId w:val="13"/>
  </w:num>
  <w:num w:numId="21" w16cid:durableId="204224291">
    <w:abstractNumId w:val="8"/>
  </w:num>
  <w:num w:numId="22" w16cid:durableId="1240941451">
    <w:abstractNumId w:val="31"/>
  </w:num>
  <w:num w:numId="23" w16cid:durableId="204106098">
    <w:abstractNumId w:val="3"/>
  </w:num>
  <w:num w:numId="24" w16cid:durableId="205064600">
    <w:abstractNumId w:val="20"/>
  </w:num>
  <w:num w:numId="25" w16cid:durableId="299305618">
    <w:abstractNumId w:val="12"/>
  </w:num>
  <w:num w:numId="26" w16cid:durableId="1895847274">
    <w:abstractNumId w:val="1"/>
  </w:num>
  <w:num w:numId="27" w16cid:durableId="217865233">
    <w:abstractNumId w:val="14"/>
  </w:num>
  <w:num w:numId="28" w16cid:durableId="1767579628">
    <w:abstractNumId w:val="24"/>
  </w:num>
  <w:num w:numId="29" w16cid:durableId="1093818914">
    <w:abstractNumId w:val="2"/>
  </w:num>
  <w:num w:numId="30" w16cid:durableId="989672339">
    <w:abstractNumId w:val="17"/>
  </w:num>
  <w:num w:numId="31" w16cid:durableId="2130857771">
    <w:abstractNumId w:val="26"/>
  </w:num>
  <w:num w:numId="32" w16cid:durableId="7536299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C0245"/>
    <w:rsid w:val="002C4FB1"/>
    <w:rsid w:val="002C5AB4"/>
    <w:rsid w:val="002C67B9"/>
    <w:rsid w:val="002D4790"/>
    <w:rsid w:val="002D722E"/>
    <w:rsid w:val="002E1720"/>
    <w:rsid w:val="002E4F12"/>
    <w:rsid w:val="002F2DBF"/>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239C"/>
    <w:rsid w:val="003C3395"/>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45D99"/>
    <w:rsid w:val="0056011E"/>
    <w:rsid w:val="00566062"/>
    <w:rsid w:val="00571941"/>
    <w:rsid w:val="00573DDD"/>
    <w:rsid w:val="005827A0"/>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84C5A"/>
    <w:rsid w:val="00687106"/>
    <w:rsid w:val="00687B51"/>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3051"/>
    <w:rsid w:val="0094128C"/>
    <w:rsid w:val="00962A79"/>
    <w:rsid w:val="009637DC"/>
    <w:rsid w:val="00970CF1"/>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CAD"/>
    <w:rsid w:val="00A65486"/>
    <w:rsid w:val="00A70875"/>
    <w:rsid w:val="00A769E5"/>
    <w:rsid w:val="00A85F1C"/>
    <w:rsid w:val="00A86B57"/>
    <w:rsid w:val="00A87861"/>
    <w:rsid w:val="00A9189E"/>
    <w:rsid w:val="00A9670D"/>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85E"/>
    <w:rsid w:val="00B92E39"/>
    <w:rsid w:val="00B94DEA"/>
    <w:rsid w:val="00BA203C"/>
    <w:rsid w:val="00BA2BD9"/>
    <w:rsid w:val="00BB062F"/>
    <w:rsid w:val="00BB2F8D"/>
    <w:rsid w:val="00BC3368"/>
    <w:rsid w:val="00BC3A4F"/>
    <w:rsid w:val="00BD20A9"/>
    <w:rsid w:val="00BD24FE"/>
    <w:rsid w:val="00BE1B4C"/>
    <w:rsid w:val="00BE269A"/>
    <w:rsid w:val="00BF16A0"/>
    <w:rsid w:val="00BF1870"/>
    <w:rsid w:val="00BF3971"/>
    <w:rsid w:val="00BF4B86"/>
    <w:rsid w:val="00C0062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3FED"/>
    <w:rsid w:val="00CF4AA3"/>
    <w:rsid w:val="00D000F4"/>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56EF6"/>
    <w:rsid w:val="00D702F4"/>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75FC"/>
    <w:rsid w:val="00F6795C"/>
    <w:rsid w:val="00F73580"/>
    <w:rsid w:val="00F766EB"/>
    <w:rsid w:val="00F82568"/>
    <w:rsid w:val="00F86A87"/>
    <w:rsid w:val="00F912B2"/>
    <w:rsid w:val="00FA32BB"/>
    <w:rsid w:val="00FB3077"/>
    <w:rsid w:val="00FB4745"/>
    <w:rsid w:val="00FC38C3"/>
    <w:rsid w:val="00FC3E76"/>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D13E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affe">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styleId="afff">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m.ru/uchebnaya-deyatelnost/lektsii/514-ids" TargetMode="External"/><Relationship Id="rId13" Type="http://schemas.openxmlformats.org/officeDocument/2006/relationships/hyperlink" Target="https://cisoclub.ru/metody-vyjavlenija-i-reagirovanija-na-anomalii-v-kompjuternyh-setja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ecurityvision.ru/blog/obnaruzhenie-i-predotvrashchenie-vtorzheni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ctel.ru/blog/ips-and-ids/" TargetMode="External"/><Relationship Id="rId5" Type="http://schemas.openxmlformats.org/officeDocument/2006/relationships/webSettings" Target="webSettings.xml"/><Relationship Id="rId15" Type="http://schemas.openxmlformats.org/officeDocument/2006/relationships/hyperlink" Target="https://habr.com/ru/users/kirillkosolapov/" TargetMode="External"/><Relationship Id="rId23" Type="http://schemas.openxmlformats.org/officeDocument/2006/relationships/theme" Target="theme/theme1.xml"/><Relationship Id="rId10" Type="http://schemas.openxmlformats.org/officeDocument/2006/relationships/hyperlink" Target="https://readli.net/avtor/SHnayer-Bryu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yberleninka.ru/article/n/obzor-otkrytyh-naborov-dannyh-dlya-vyyavleniya-atak-na-veb-prilozheniya/viewer" TargetMode="External"/><Relationship Id="rId14" Type="http://schemas.openxmlformats.org/officeDocument/2006/relationships/hyperlink" Target="https://habr.com/ru/users/kirillkosolapov/"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D444-F142-4A41-AA4A-909DE8B8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8663</TotalTime>
  <Pages>1</Pages>
  <Words>2125</Words>
  <Characters>12113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Антон Сластухин</cp:lastModifiedBy>
  <cp:revision>118</cp:revision>
  <dcterms:created xsi:type="dcterms:W3CDTF">2020-04-23T10:28:00Z</dcterms:created>
  <dcterms:modified xsi:type="dcterms:W3CDTF">2025-03-16T21:16:00Z</dcterms:modified>
</cp:coreProperties>
</file>