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172244C1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4E5E5E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4E5E5E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E5E5E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1341B9A7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E1792D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9" w:name="fetusCount"/>
      <w:r w:rsidR="00E1792D">
        <w:rPr>
          <w:sz w:val="28"/>
        </w:rPr>
        <w:instrText xml:space="preserve"> FORMTEXT </w:instrText>
      </w:r>
      <w:r w:rsidR="00E1792D">
        <w:rPr>
          <w:sz w:val="28"/>
        </w:rPr>
      </w:r>
      <w:r w:rsidR="00E1792D">
        <w:rPr>
          <w:sz w:val="28"/>
        </w:rPr>
        <w:fldChar w:fldCharType="separate"/>
      </w:r>
      <w:r w:rsidR="001E6D08">
        <w:rPr>
          <w:sz w:val="28"/>
        </w:rPr>
        <w:t>один</w:t>
      </w:r>
      <w:r w:rsidR="00E1792D">
        <w:rPr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0E194D2A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D29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7BB1FA21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624060C6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4CBE4366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36109C0F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5ACD737B" w:rsidR="00CC090C" w:rsidRDefault="00D85CF5">
      <w:pPr>
        <w:jc w:val="both"/>
        <w:rPr>
          <w:sz w:val="28"/>
        </w:rPr>
      </w:pPr>
      <w:r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608C978A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0C1E4299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009090AD" w:rsidR="00EC0626" w:rsidRDefault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 </w:t>
      </w:r>
      <w:r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4E5E5E">
        <w:rPr>
          <w:b/>
          <w:noProof/>
          <w:sz w:val="28"/>
        </w:rPr>
        <w:t> </w:t>
      </w:r>
      <w:r w:rsidR="004E5E5E">
        <w:rPr>
          <w:b/>
          <w:noProof/>
          <w:sz w:val="28"/>
        </w:rPr>
        <w:t> </w:t>
      </w:r>
      <w:r w:rsidR="004E5E5E">
        <w:rPr>
          <w:b/>
          <w:sz w:val="28"/>
        </w:rPr>
        <w:fldChar w:fldCharType="end"/>
      </w:r>
      <w:bookmarkEnd w:id="25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sz w:val="28"/>
          <w:lang w:val="en-US"/>
        </w:rPr>
        <w:fldChar w:fldCharType="end"/>
      </w:r>
      <w:bookmarkEnd w:id="2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0917945">
                <wp:simplePos x="0" y="0"/>
                <wp:positionH relativeFrom="column">
                  <wp:posOffset>-60960</wp:posOffset>
                </wp:positionH>
                <wp:positionV relativeFrom="paragraph">
                  <wp:posOffset>193040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A021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5.2pt" to="42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DfzDpH3gAAAAgBAAAPAAAAAAAAAAAAAAAAAAcEAABkcnMvZG93bnJldi54&#10;bWxQSwUGAAAAAAQABADzAAAAEgUAAAAA&#10;" strokeweight="1pt"/>
            </w:pict>
          </mc:Fallback>
        </mc:AlternateConten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7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7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8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8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Хориоидные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>
        <w:rPr>
          <w:sz w:val="16"/>
        </w:rPr>
        <w:t xml:space="preserve">. </w:t>
      </w:r>
      <w:bookmarkStart w:id="31" w:name="OLE_LINK1"/>
      <w:r>
        <w:rPr>
          <w:sz w:val="24"/>
        </w:rPr>
        <w:t xml:space="preserve">Лимфангиэктазия </w:t>
      </w:r>
      <w:bookmarkEnd w:id="31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2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2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3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3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4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4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5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6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6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7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7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8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8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39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9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0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1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>
        <w:rPr>
          <w:sz w:val="16"/>
        </w:rPr>
        <w:t xml:space="preserve">. </w:t>
      </w:r>
      <w:r>
        <w:rPr>
          <w:sz w:val="24"/>
        </w:rPr>
        <w:t xml:space="preserve">Объемные образова-ния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2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2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3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3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4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4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5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6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6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7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7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8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8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49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9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0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1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51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2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2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3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3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4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5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5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6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7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8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59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0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1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2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2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3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4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4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6C2FF501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D94AA6">
        <w:rPr>
          <w:sz w:val="24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65" w:name="dateText"/>
      <w:r w:rsidR="00D94AA6">
        <w:rPr>
          <w:sz w:val="24"/>
        </w:rPr>
        <w:instrText xml:space="preserve"> FORMTEXT </w:instrText>
      </w:r>
      <w:r w:rsidR="00D94AA6">
        <w:rPr>
          <w:sz w:val="24"/>
        </w:rPr>
      </w:r>
      <w:r w:rsidR="00D94AA6">
        <w:rPr>
          <w:sz w:val="24"/>
        </w:rPr>
        <w:fldChar w:fldCharType="separate"/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sz w:val="24"/>
        </w:rPr>
        <w:fldChar w:fldCharType="end"/>
      </w:r>
      <w:bookmarkEnd w:id="65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6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66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195AA3"/>
    <w:rsid w:val="001E6D08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D04A3C"/>
    <w:rsid w:val="00D83867"/>
    <w:rsid w:val="00D85CF5"/>
    <w:rsid w:val="00D94AA6"/>
    <w:rsid w:val="00DB0461"/>
    <w:rsid w:val="00E1792D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8</cp:revision>
  <cp:lastPrinted>2009-02-04T03:57:00Z</cp:lastPrinted>
  <dcterms:created xsi:type="dcterms:W3CDTF">2022-11-27T15:59:00Z</dcterms:created>
  <dcterms:modified xsi:type="dcterms:W3CDTF">2022-12-10T19:02:00Z</dcterms:modified>
</cp:coreProperties>
</file>