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rFonts w:ascii="Calibri" w:hAnsi="Calibri"/>
          <w:b/>
          <w:color w:val="1f4e79"/>
          <w:sz w:val="32"/>
        </w:rPr>
        <w:t xml:space="preserve">PERSONAL WEALTH PROFILE — CONSOLIDATED &amp; CORRECTED</w:t>
      </w:r>
      <w:r/>
    </w:p>
    <w:p>
      <w:pPr>
        <w:pBdr/>
        <w:spacing/>
        <w:ind/>
        <w:jc w:val="center"/>
        <w:rPr/>
      </w:pPr>
      <w:r>
        <w:rPr>
          <w:i/>
          <w:color w:val="646464"/>
          <w:sz w:val="18"/>
        </w:rPr>
        <w:t xml:space="preserve">Client: Satheesh Sivasubramonia Pillai | Prepared for: Fintree India (Mr. Utkarsh) | Date: June 2026 | Exchange Rate: Rs 272 per KD</w:t>
      </w:r>
      <w:r/>
    </w:p>
    <w:p>
      <w:pPr>
        <w:pBdr/>
        <w:spacing/>
        <w:ind/>
        <w:rPr/>
      </w:pPr>
      <w:r/>
      <w:r/>
    </w:p>
    <w:p>
      <w:pPr>
        <w:pStyle w:val="693"/>
        <w:pBdr/>
        <w:spacing/>
        <w:ind/>
        <w:rPr/>
      </w:pPr>
      <w:r>
        <w:rPr>
          <w:rFonts w:ascii="Calibri" w:hAnsi="Calibri"/>
          <w:color w:val="1f4e79"/>
        </w:rPr>
        <w:t xml:space="preserve">1. PERSONAL &amp; FAMILY</w:t>
      </w:r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3168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Name</w:t>
            </w:r>
            <w:r/>
          </w:p>
        </w:tc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619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Satheesh Sivasubramonia Pillai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3168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Residence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619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Yousuf Al Bader St, Block 10, Salmiya, Kuwait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3168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Contact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619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+91 9995717611 / +965 66047491 / satkwi@gmail.com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3168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Occupation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619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Freelance Accounting &amp; Finance Manager (25 years Kuwait experience)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3168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Business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619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Chemtech Global General Trading &amp; Contracting Co., Kuwait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3168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Marital Status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6192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Married to Anandi Satheesh (Teacher)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/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/>
            <w:r/>
          </w:p>
        </w:tc>
      </w:tr>
    </w:tbl>
    <w:p>
      <w:pPr>
        <w:pBdr/>
        <w:spacing/>
        <w:ind/>
        <w:rPr/>
      </w:pPr>
      <w:r>
        <w:rPr>
          <w:rFonts w:ascii="Calibri" w:hAnsi="Calibri"/>
          <w:b w:val="0"/>
          <w:i w:val="0"/>
          <w:sz w:val="20"/>
        </w:rPr>
      </w:r>
      <w:r/>
    </w:p>
    <w:p>
      <w:pPr>
        <w:pBdr/>
        <w:spacing/>
        <w:ind/>
        <w:rPr/>
      </w:pPr>
      <w:r>
        <w:rPr>
          <w:rFonts w:ascii="Calibri" w:hAnsi="Calibri"/>
          <w:b/>
          <w:i w:val="0"/>
          <w:sz w:val="20"/>
        </w:rPr>
        <w:t xml:space="preserve">Family Composition: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Child</w:t>
            </w:r>
            <w:r/>
          </w:p>
        </w:tc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DOB</w:t>
            </w:r>
            <w:r/>
          </w:p>
        </w:tc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Status</w:t>
            </w:r>
            <w:r/>
          </w:p>
        </w:tc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Goal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Adithyan (Son)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23-Jul-2003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ACCA complete; CFA Level 1 pursuing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CFA → FRM/Data Analytics → 5-7 yrs experience → ACCA coaching centre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Abhirami (Daughter)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11-Apr-2007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BSc Psychology Year 1, Bangalore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BSc → Master’s Europe (Germany/Ireland/Italy, target 2029)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/>
        <w:ind/>
        <w:rPr/>
      </w:pPr>
      <w:r>
        <w:rPr>
          <w:rFonts w:ascii="Calibri" w:hAnsi="Calibri"/>
          <w:color w:val="1f4e79"/>
        </w:rPr>
        <w:t xml:space="preserve">2. GOALS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Member</w:t>
            </w:r>
            <w:r/>
          </w:p>
        </w:tc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Goal</w:t>
            </w:r>
            <w:r/>
          </w:p>
        </w:tc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Timeline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Self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Scale freelance to KD 2,000/mo; register Kuwait bookkeeping firm with 1-2 assistants; leverage Kuwait IFRS mandate for SMEs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2026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Son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Complete CFA, add FRM/Data Analytics, build experience, launch coaching centre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2026–2032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Daughter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Complete BSc → Master’s in Europe (Germany preferred: Rs 22–26L; Ireland: Rs 54L)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2027–2031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Family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Long-term wealth creation, capital preservation, disciplined goal-based structure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7–10+ years</w:t>
            </w:r>
            <w:r/>
          </w:p>
        </w:tc>
      </w:tr>
    </w:tbl>
    <w:p>
      <w:pPr>
        <w:pStyle w:val="693"/>
        <w:pBdr/>
        <w:spacing/>
        <w:ind/>
        <w:rPr/>
      </w:pPr>
      <w:r>
        <w:rPr>
          <w:rFonts w:ascii="Calibri" w:hAnsi="Calibri"/>
          <w:color w:val="1f4e79"/>
        </w:rPr>
        <w:t xml:space="preserve">3. INCOME &amp; CASH FLOW (Monthly)</w:t>
      </w:r>
      <w:r/>
    </w:p>
    <w:p>
      <w:pPr>
        <w:pBdr/>
        <w:spacing/>
        <w:ind/>
        <w:rPr/>
      </w:pPr>
      <w:r>
        <w:rPr>
          <w:rFonts w:ascii="Calibri" w:hAnsi="Calibri"/>
          <w:b/>
          <w:i w:val="0"/>
          <w:sz w:val="20"/>
        </w:rPr>
        <w:t xml:space="preserve">Kuwait Segment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Item</w:t>
            </w:r>
            <w:r/>
          </w:p>
        </w:tc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KD</w:t>
            </w:r>
            <w:r/>
          </w:p>
        </w:tc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INR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Freelance (3 clients @ KD 350–500)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1,150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3,12,800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Target Income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2,000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5,44,000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Personal Loan EMI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515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1,40,080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Household Expenses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435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1,18,320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Kuwait Surplus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200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54,400</w:t>
            </w:r>
            <w:r/>
          </w:p>
        </w:tc>
      </w:tr>
    </w:tbl>
    <w:p>
      <w:pPr>
        <w:pBdr/>
        <w:spacing/>
        <w:ind/>
        <w:rPr/>
      </w:pPr>
      <w:r>
        <w:rPr>
          <w:rFonts w:ascii="Calibri" w:hAnsi="Calibri"/>
          <w:b/>
          <w:i w:val="0"/>
          <w:sz w:val="20"/>
        </w:rPr>
        <w:t xml:space="preserve">At Target Income Surplus: KD 1,050 (Rs 2,85,600)</w:t>
      </w:r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sz w:val="20"/>
        </w:rPr>
      </w:r>
      <w:r/>
    </w:p>
    <w:p>
      <w:pPr>
        <w:pBdr/>
        <w:spacing/>
        <w:ind/>
        <w:rPr/>
      </w:pPr>
      <w:r>
        <w:rPr>
          <w:rFonts w:ascii="Calibri" w:hAnsi="Calibri"/>
          <w:b/>
          <w:i w:val="0"/>
          <w:sz w:val="20"/>
        </w:rPr>
        <w:t xml:space="preserve">India Segment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Item</w:t>
            </w:r>
            <w:r/>
          </w:p>
        </w:tc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INR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Rental Income (flat)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24,500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Home Loan EMI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31,400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India Deficit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-6,900</w:t>
            </w:r>
            <w:r/>
          </w:p>
        </w:tc>
      </w:tr>
    </w:tbl>
    <w:p>
      <w:pPr>
        <w:pBdr/>
        <w:spacing/>
        <w:ind/>
        <w:rPr/>
      </w:pPr>
      <w:r>
        <w:rPr>
          <w:rFonts w:ascii="Calibri" w:hAnsi="Calibri"/>
          <w:b w:val="0"/>
          <w:i w:val="0"/>
          <w:sz w:val="20"/>
        </w:rPr>
      </w:r>
      <w:r/>
    </w:p>
    <w:p>
      <w:pPr>
        <w:pBdr/>
        <w:spacing/>
        <w:ind/>
        <w:rPr/>
      </w:pPr>
      <w:r>
        <w:rPr>
          <w:rFonts w:ascii="Calibri" w:hAnsi="Calibri"/>
          <w:b/>
          <w:i w:val="0"/>
          <w:sz w:val="20"/>
        </w:rPr>
        <w:t xml:space="preserve">Combined Position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Metric</w:t>
            </w:r>
            <w:r/>
          </w:p>
        </w:tc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Value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Total Monthly Inflow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KD 1,240 + Rs 24,500 ≈ Rs 3,37,300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Total Monthly Outflow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KD 950 + Rs 31,400 ≈ Rs 2,89,880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Net Monthly Surplus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KD 200 (Rs 54,400)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Gross Savings Rate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~14%</w:t>
            </w:r>
            <w:r/>
          </w:p>
        </w:tc>
      </w:tr>
    </w:tbl>
    <w:p>
      <w:pPr>
        <w:pBdr/>
        <w:spacing/>
        <w:ind/>
        <w:rPr/>
      </w:pPr>
      <w:r>
        <w:rPr>
          <w:rFonts w:ascii="Calibri" w:hAnsi="Calibri"/>
          <w:b w:val="0"/>
          <w:i/>
          <w:sz w:val="20"/>
        </w:rPr>
        <w:t xml:space="preserve">Note: The additional KD 850/mo at target income equals Rs 2.31L/month or Rs 27.7L/year in gross incremental income.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/>
        <w:ind/>
        <w:rPr/>
      </w:pPr>
      <w:r>
        <w:rPr>
          <w:rFonts w:ascii="Calibri" w:hAnsi="Calibri"/>
          <w:color w:val="1f4e79"/>
        </w:rPr>
        <w:t xml:space="preserve">4. BALANCE SHEET</w:t>
      </w:r>
      <w:r/>
    </w:p>
    <w:p>
      <w:pPr>
        <w:pBdr/>
        <w:spacing/>
        <w:ind/>
        <w:rPr/>
      </w:pPr>
      <w:r>
        <w:rPr>
          <w:rFonts w:ascii="Calibri" w:hAnsi="Calibri"/>
          <w:b/>
          <w:i w:val="0"/>
          <w:sz w:val="20"/>
        </w:rPr>
        <w:t xml:space="preserve">Assets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Kuwait Financial Asset</w:t>
            </w:r>
            <w:r/>
          </w:p>
        </w:tc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Amount</w:t>
            </w:r>
            <w:r/>
          </w:p>
        </w:tc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Notes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Emergency Fund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KD 4,000 (Rs 10.88L)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4 months coverage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FD — Company Capital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KD 3,000 (Rs 8.16L)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Locked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FD — Son’s CFA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KD 3,000 (Rs 8.16L)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Locked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Loan Receivable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KD 17,500 (Rs 47.60L)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Expected within current year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Subtotal Kuwait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KD 27,500 (Rs 74.80L)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17% of total assets</w:t>
            </w:r>
            <w:r/>
          </w:p>
        </w:tc>
      </w:tr>
    </w:tbl>
    <w:p>
      <w:pPr>
        <w:pBdr/>
        <w:spacing/>
        <w:ind/>
        <w:rPr/>
      </w:pPr>
      <w:r>
        <w:rPr>
          <w:rFonts w:ascii="Calibri" w:hAnsi="Calibri"/>
          <w:b w:val="0"/>
          <w:i w:val="0"/>
          <w:sz w:val="20"/>
        </w:rPr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India Financial Asset</w:t>
            </w:r>
            <w:r/>
          </w:p>
        </w:tc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Amount</w:t>
            </w:r>
            <w:r/>
          </w:p>
        </w:tc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Notes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Savings Account (Deployable)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Rs 35.00L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Idle at 3–4%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Fixed Deposit — Emergency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Rs 10.00L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Emergency reserve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Gold (Locker)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Rs 50.00L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Zero return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Subtotal India Financial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Rs 95.00L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22% of total assets</w:t>
            </w:r>
            <w:r/>
          </w:p>
        </w:tc>
      </w:tr>
    </w:tbl>
    <w:p>
      <w:pPr>
        <w:pBdr/>
        <w:spacing/>
        <w:ind/>
        <w:rPr/>
      </w:pPr>
      <w:r>
        <w:rPr>
          <w:rFonts w:ascii="Calibri" w:hAnsi="Calibri"/>
          <w:b w:val="0"/>
          <w:i w:val="0"/>
          <w:sz w:val="20"/>
        </w:rPr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Property</w:t>
            </w:r>
            <w:r/>
          </w:p>
        </w:tc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Estimated Value</w:t>
            </w:r>
            <w:r/>
          </w:p>
        </w:tc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Status</w:t>
            </w:r>
            <w:r/>
          </w:p>
        </w:tc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Income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Residential Flat (Rented)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Rs 80.00L*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Rented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Rs 24,500/mo; yield ~3.7%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Plot 1 — Trivandrum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Rs 50.00L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Held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Zero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Plot 2 — Trivandrum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Rs 50.00L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Held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Zero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Plot — Bangalore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Rs 35.00L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Held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Zero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Flat (Under Construction)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Rs 55.00L paid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Under litigation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Zero; needs Rs 40L more if resolved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Subtotal Real Estate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Rs 2.70 Cr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—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61% of total assets</w:t>
            </w:r>
            <w:r/>
          </w:p>
        </w:tc>
      </w:tr>
    </w:tbl>
    <w:p>
      <w:pPr>
        <w:pBdr/>
        <w:spacing/>
        <w:ind/>
        <w:rPr/>
      </w:pPr>
      <w:r>
        <w:rPr>
          <w:rFonts w:ascii="Calibri" w:hAnsi="Calibri"/>
          <w:b w:val="0"/>
          <w:i/>
          <w:sz w:val="20"/>
        </w:rPr>
        <w:t xml:space="preserve">* Rs 80L value inferred from rental yield; not explicitly stated in source.</w:t>
      </w:r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sz w:val="20"/>
        </w:rPr>
      </w:r>
      <w:r/>
    </w:p>
    <w:p>
      <w:pPr>
        <w:pBdr/>
        <w:spacing/>
        <w:ind/>
        <w:rPr/>
      </w:pPr>
      <w:r>
        <w:rPr>
          <w:rFonts w:ascii="Calibri" w:hAnsi="Calibri"/>
          <w:b/>
          <w:i w:val="0"/>
          <w:sz w:val="20"/>
        </w:rPr>
        <w:t xml:space="preserve">Total Assets: Rs 4.40 Crore</w:t>
      </w:r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sz w:val="20"/>
        </w:rPr>
      </w:r>
      <w:r/>
    </w:p>
    <w:p>
      <w:pPr>
        <w:pBdr/>
        <w:spacing/>
        <w:ind/>
        <w:rPr/>
      </w:pPr>
      <w:r>
        <w:rPr>
          <w:rFonts w:ascii="Calibri" w:hAnsi="Calibri"/>
          <w:b/>
          <w:i w:val="0"/>
          <w:sz w:val="20"/>
        </w:rPr>
        <w:t xml:space="preserve">Liabilities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14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Liability</w:t>
            </w:r>
            <w:r/>
          </w:p>
        </w:tc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14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Outstanding</w:t>
            </w:r>
            <w:r/>
          </w:p>
        </w:tc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14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EMI</w:t>
            </w:r>
            <w:r/>
          </w:p>
        </w:tc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14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Tenure</w:t>
            </w:r>
            <w:r/>
          </w:p>
        </w:tc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14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Lender</w:t>
            </w:r>
            <w:r/>
          </w:p>
        </w:tc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14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Rate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14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Home Loan (India)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14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Rs 6.00L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14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Rs 31,400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14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~1 year*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14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SBI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14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~8.5%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14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Personal Loan (Kuwait)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14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KD 24,380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14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KD 515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14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~4 years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14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Burgan Bank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14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~7–8%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14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TOTAL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14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Rs 72.31L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14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KD 515 + Rs 31,400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14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—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14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—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14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—</w:t>
            </w:r>
            <w:r/>
          </w:p>
        </w:tc>
      </w:tr>
    </w:tbl>
    <w:p>
      <w:pPr>
        <w:pBdr/>
        <w:spacing/>
        <w:ind/>
        <w:rPr/>
      </w:pPr>
      <w:r>
        <w:rPr>
          <w:rFonts w:ascii="Calibri" w:hAnsi="Calibri"/>
          <w:b w:val="0"/>
          <w:i/>
          <w:sz w:val="20"/>
        </w:rPr>
        <w:t xml:space="preserve">* Note: Rs 6L at 8.5% with Rs 31,400 EMI implies ~20 months remaining, not 12. Verify exact principal with SBI.</w:t>
      </w:r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sz w:val="20"/>
        </w:rPr>
      </w:r>
      <w:r/>
    </w:p>
    <w:p>
      <w:pPr>
        <w:pBdr/>
        <w:spacing/>
        <w:ind/>
        <w:rPr/>
      </w:pPr>
      <w:r>
        <w:rPr>
          <w:rFonts w:ascii="Calibri" w:hAnsi="Calibri"/>
          <w:b/>
          <w:i w:val="0"/>
          <w:sz w:val="20"/>
        </w:rPr>
        <w:t xml:space="preserve">Net Worth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Metric</w:t>
            </w:r>
            <w:r/>
          </w:p>
        </w:tc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Value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Total Assets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Rs 4.40 Cr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Total Liabilities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Rs 72.31L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Net Worth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Rs 3.67 Cr (83.6%)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/>
        <w:ind/>
        <w:rPr/>
      </w:pPr>
      <w:r>
        <w:rPr>
          <w:rFonts w:ascii="Calibri" w:hAnsi="Calibri"/>
          <w:color w:val="1f4e79"/>
        </w:rPr>
        <w:t xml:space="preserve">5. INSURANCE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Type</w:t>
            </w:r>
            <w:r/>
          </w:p>
        </w:tc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Coverage</w:t>
            </w:r>
            <w:r/>
          </w:p>
        </w:tc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Notes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Life (Self)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USD 320,000 (~Rs 2.7 Cr)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MetLife; term till age 70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Health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Rs 1 Cr floater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Niva Bupa Reassure 2.0: Base Rs 10L + Top-up Rs 90L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Critical Illness (Self)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USD 100,000 (~Rs 85L)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MetLife till age 70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Critical Illness (Spouse)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USD 50,000 (~Rs 42.5L)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MetLife till age 70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Endowment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Rs 4L/year premium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8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Ageas Federal; started 2021; 7-year term (last payment 2027); maturity Rs 40L</w:t>
            </w:r>
            <w:r/>
          </w:p>
        </w:tc>
      </w:tr>
    </w:tbl>
    <w:p>
      <w:pPr>
        <w:pBdr/>
        <w:spacing/>
        <w:ind/>
        <w:rPr/>
      </w:pPr>
      <w:r>
        <w:rPr>
          <w:rFonts w:ascii="Calibri" w:hAnsi="Calibri"/>
          <w:b w:val="0"/>
          <w:i w:val="0"/>
          <w:sz w:val="20"/>
        </w:rPr>
      </w:r>
      <w:r/>
    </w:p>
    <w:p>
      <w:pPr>
        <w:pBdr/>
        <w:spacing/>
        <w:ind/>
        <w:rPr/>
      </w:pPr>
      <w:r>
        <w:rPr>
          <w:rFonts w:ascii="Calibri" w:hAnsi="Calibri"/>
          <w:b/>
          <w:i w:val="0"/>
          <w:sz w:val="20"/>
        </w:rPr>
        <w:t xml:space="preserve">Endowment Correction:</w:t>
      </w:r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sz w:val="20"/>
        </w:rPr>
        <w:t xml:space="preserve">7 years × Rs 4L = Rs 28L total premium (</w:t>
      </w:r>
      <w:r>
        <w:rPr>
          <w:rFonts w:ascii="Calibri" w:hAnsi="Calibri"/>
          <w:b w:val="0"/>
          <w:i w:val="0"/>
          <w:sz w:val="20"/>
        </w:rPr>
        <w:t xml:space="preserve">not Rs 36L as previously stated). Maturity Rs 40L = net Rs 12L gain. IRR ~5.5%. If converted to paid-up now (5 of 7 premiums paid = Rs 20L paid), estimated surrender value Rs 15–18L. Rs 8L remaining premium saved for redeployment in higher-yielding assets.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/>
        <w:ind/>
        <w:rPr/>
      </w:pPr>
      <w:r>
        <w:rPr>
          <w:rFonts w:ascii="Calibri" w:hAnsi="Calibri"/>
          <w:color w:val="1f4e79"/>
        </w:rPr>
        <w:t xml:space="preserve">6. INVESTABLE CORPUS &amp; 4-BUCKET ALLOCATION</w:t>
      </w:r>
      <w:r/>
    </w:p>
    <w:p>
      <w:pPr>
        <w:pBdr/>
        <w:spacing/>
        <w:ind/>
        <w:rPr/>
      </w:pPr>
      <w:r>
        <w:rPr>
          <w:rFonts w:ascii="Calibri" w:hAnsi="Calibri"/>
          <w:b/>
          <w:i w:val="0"/>
          <w:sz w:val="20"/>
        </w:rPr>
        <w:t xml:space="preserve">Total Deployable: Rs 35 Lakhs (savings account, India)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Bucket</w:t>
            </w:r>
            <w:r/>
          </w:p>
        </w:tc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Amount</w:t>
            </w:r>
            <w:r/>
          </w:p>
        </w:tc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Purpose</w:t>
            </w:r>
            <w:r/>
          </w:p>
        </w:tc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Horizon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A — Self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Rs 15L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Wealth creation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7–10+ years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B — Son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Rs 5L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Long-term wealth &amp; career capital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10–15 years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C — Daughter (Long-Term)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Rs 5L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Long-term wealth in her name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10+ years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D — Daughter (Education)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Rs 10L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Rs 30,000/month from August 2027; capital preservation priority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21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1–3 years</w:t>
            </w:r>
            <w:r/>
          </w:p>
        </w:tc>
      </w:tr>
    </w:tbl>
    <w:p>
      <w:pPr>
        <w:pBdr/>
        <w:spacing/>
        <w:ind/>
        <w:rPr/>
      </w:pPr>
      <w:r>
        <w:rPr>
          <w:rFonts w:ascii="Calibri" w:hAnsi="Calibri"/>
          <w:b w:val="0"/>
          <w:i/>
          <w:sz w:val="20"/>
        </w:rPr>
        <w:t xml:space="preserve">Daughter Education Fund Note: Rs 30,000/month from Aug 2027 is the stated requirement. If not needed for BSc living expenses, it rolls forward to fund the 2029 Master’s in Europe (Germany target: Rs 22–26L total).</w:t>
      </w:r>
      <w:r/>
    </w:p>
    <w:p>
      <w:pPr>
        <w:pStyle w:val="693"/>
        <w:pBdr/>
        <w:spacing/>
        <w:ind/>
        <w:rPr/>
      </w:pPr>
      <w:r>
        <w:rPr>
          <w:rFonts w:ascii="Calibri" w:hAnsi="Calibri"/>
          <w:color w:val="1f4e79"/>
        </w:rPr>
        <w:t xml:space="preserve">7. GOLD OVERDRAFT STRATEGY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Parameter</w:t>
            </w:r>
            <w:r/>
          </w:p>
        </w:tc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Detail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Gold Pledged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Rs 50L (locker)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OD Limit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Rs 15L (30% LTV)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OD Holder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Spouse (Anandi) — tax efficiency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Investment Holder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Spouse (Anandi)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Interest Cost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~9.5% blended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Return Target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&gt;11% (minimum: cover interest + gold opportunity cost)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Recommended Vehicle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40% Arbitrage + 35% Corporate Bond + 25% Short Duration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Risk Controls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Hard ceiling: 40% LTV. Exit if OD rate &gt;11% or 6-month rolling returns &lt;8%.</w:t>
            </w:r>
            <w:r/>
          </w:p>
        </w:tc>
      </w:tr>
    </w:tbl>
    <w:p>
      <w:pPr>
        <w:pStyle w:val="693"/>
        <w:pBdr/>
        <w:spacing/>
        <w:ind/>
        <w:rPr/>
      </w:pPr>
      <w:r>
        <w:rPr>
          <w:rFonts w:ascii="Calibri" w:hAnsi="Calibri"/>
          <w:color w:val="1f4e79"/>
        </w:rPr>
        <w:t xml:space="preserve">8. RISK PROFILE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Parameter</w:t>
            </w:r>
            <w:r/>
          </w:p>
        </w:tc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Value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Risk Tolerance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Medium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Primary Objective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Capital preservation with steady growth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Investment Horizon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7–10+ years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Deployment Mode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Lump sum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Drawdown Tolerance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20–30% temporary; no reaction to short-term volatility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Preferred Style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Simple, transparent, diversified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/>
        <w:ind/>
        <w:rPr/>
      </w:pPr>
      <w:r>
        <w:rPr>
          <w:rFonts w:ascii="Calibri" w:hAnsi="Calibri"/>
          <w:color w:val="1f4e79"/>
        </w:rPr>
        <w:t xml:space="preserve">9. SPECIFIC ADVICE REQUESTED</w:t>
      </w:r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sz w:val="20"/>
        </w:rPr>
        <w:t xml:space="preserve">1. Optimal asset allocation for Rs 35L across 4 buckets</w:t>
      </w:r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sz w:val="20"/>
        </w:rPr>
        <w:t xml:space="preserve">2. Specific fund/instrument recommendations per bucket</w:t>
      </w:r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sz w:val="20"/>
        </w:rPr>
        <w:t xml:space="preserve">3. Structuring Rs 10L Education Fund for Rs 30K/month from Aug 2027 with capital preservation</w:t>
      </w:r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sz w:val="20"/>
        </w:rPr>
        <w:t xml:space="preserve">4. Validate Gold OD strategy — vehicle selection, expected spread, risk controls</w:t>
      </w:r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sz w:val="20"/>
        </w:rPr>
        <w:t xml:space="preserve">5. Endowment: continue Rs 8L remaining premium vs. convert to paid-up</w:t>
      </w:r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sz w:val="20"/>
        </w:rPr>
        <w:t xml:space="preserve">6. Overall portfolio architecture across India + Kuwait (diversification, currency, liquidity)</w:t>
      </w:r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sz w:val="20"/>
        </w:rPr>
        <w:t xml:space="preserve">7. Sequencing: deploy lump sum, restructure insurance, take Gold OD, prepay loans — given limited bandwidth</w:t>
      </w:r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sz w:val="20"/>
        </w:rPr>
        <w:t xml:space="preserve">8. Daughter marriage (2033–2035): SIP trigger, vehicle, and stress-test framework</w:t>
      </w:r>
      <w:r/>
    </w:p>
    <w:p>
      <w:pPr>
        <w:pStyle w:val="693"/>
        <w:pBdr/>
        <w:spacing/>
        <w:ind/>
        <w:rPr/>
      </w:pPr>
      <w:r>
        <w:rPr>
          <w:rFonts w:ascii="Calibri" w:hAnsi="Calibri"/>
          <w:color w:val="1f4e79"/>
        </w:rPr>
        <w:t xml:space="preserve">10. DEFERRED / CONTINGENT GOALS</w:t>
      </w:r>
      <w:r/>
    </w:p>
    <w:p>
      <w:pPr>
        <w:pBdr/>
        <w:spacing/>
        <w:ind/>
        <w:rPr/>
      </w:pPr>
      <w:r>
        <w:rPr>
          <w:rFonts w:ascii="Calibri" w:hAnsi="Calibri"/>
          <w:b/>
          <w:i w:val="0"/>
          <w:sz w:val="20"/>
        </w:rPr>
        <w:t xml:space="preserve">Daughter Marriage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Source</w:t>
            </w:r>
            <w:r/>
          </w:p>
        </w:tc>
        <w:tc>
          <w:tcPr>
            <w:shd w:val="clear" w:color="auto" w:fill="1f4e79"/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Amount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Existing Gold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Rs 50L (traditional)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SIP Rs 20–25K/mo from 2027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Rs 25–35L</w:t>
            </w:r>
            <w:r/>
          </w:p>
        </w:tc>
      </w:tr>
      <w:tr>
        <w:trPr/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Reserve: 1 Trivandrum Plot</w:t>
            </w:r>
            <w:r/>
          </w:p>
        </w:tc>
        <w:tc>
          <w:tcPr>
            <w:tcBorders>
              <w:top w:val="single" w:color="b4c7dc" w:sz="4" w:space="0"/>
              <w:left w:val="single" w:color="b4c7dc" w:sz="4" w:space="0"/>
              <w:bottom w:val="single" w:color="b4c7dc" w:sz="4" w:space="0"/>
              <w:right w:val="single" w:color="b4c7dc" w:sz="4" w:space="0"/>
            </w:tcBorders>
            <w:tcW w:w="432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Rs 50L</w:t>
            </w:r>
            <w:r/>
          </w:p>
        </w:tc>
      </w:tr>
    </w:tbl>
    <w:p>
      <w:pPr>
        <w:pBdr/>
        <w:spacing/>
        <w:ind/>
        <w:rPr/>
      </w:pPr>
      <w:r>
        <w:rPr>
          <w:rFonts w:ascii="Calibri" w:hAnsi="Calibri"/>
          <w:b w:val="0"/>
          <w:i w:val="0"/>
          <w:sz w:val="20"/>
        </w:rPr>
      </w:r>
      <w:r/>
    </w:p>
    <w:p>
      <w:pPr>
        <w:pBdr/>
        <w:spacing/>
        <w:ind/>
        <w:rPr/>
      </w:pPr>
      <w:r>
        <w:rPr>
          <w:rFonts w:ascii="Calibri" w:hAnsi="Calibri"/>
          <w:b/>
          <w:i w:val="0"/>
          <w:sz w:val="20"/>
        </w:rPr>
        <w:t xml:space="preserve">Under-Construction Flat</w:t>
      </w:r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sz w:val="20"/>
        </w:rPr>
        <w:t xml:space="preserve">If litigation resolved: needs Rs 40L completion. Primary source: KD 17,500 receivable (Rs 47.6L). Fallback: Bangalore plot sale (Rs 35L). Loss scenario: treat Rs 55L paid as sunk cost; no further capital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Calibri" w:hAnsi="Calibri"/>
      <w:sz w:val="20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2026-06-03T09:02:01Z</dcterms:modified>
  <cp:category/>
</cp:coreProperties>
</file>