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43F0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88178A" w14:textId="313012F9" w:rsidR="00744584" w:rsidRPr="00744584" w:rsidRDefault="00744584" w:rsidP="00744584">
      <w:p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sz w:val="28"/>
          <w:szCs w:val="28"/>
        </w:rPr>
        <w:t>Skill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Map — мобильная и веб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платформа, которая помогает людям и компаниям развивать компетенции и отслеживать прогресс. Она создаёт персональную карту навыков, связывая профессиональные (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>) и универсальные (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) компетенции и показывает взаимозависимости между ними. Приложение фокусируется на быстрой отдаче: пользователю важно получить первый подтверждённый результат (артефакт или бейдж) в течение одной недели после регистрации, поэтому Time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Value (TTV) не должен превышать 7дней. Платформа используется как индивидуальными пользователями, так и организациями (HR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департаменты, учебные центры) и поддерживает мобильные и PWA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клиенты с офлайн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режимом.</w:t>
      </w:r>
    </w:p>
    <w:p w14:paraId="2EFC02AB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Целевые показатели и метрики</w:t>
      </w:r>
    </w:p>
    <w:p w14:paraId="14FF2594" w14:textId="43C3E8FF" w:rsidR="00744584" w:rsidRPr="00744584" w:rsidRDefault="00744584" w:rsidP="007445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Активация пользователей.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Показатель активации (доля зарегистрировавшихся, которые запустили карьерный трек в первые 7дней) должен достигать ≥35%. При первом контрольном пункте не менее 25% пользователей должны завершить первый этап обучения, а удержание на горизонтах D7 и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D30 не может быть ниже 20% и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12% соответственно. Это базовые пороги для принятия решения о продолжении проекта.</w:t>
      </w:r>
    </w:p>
    <w:p w14:paraId="1B514EDF" w14:textId="2710CD6A" w:rsidR="00744584" w:rsidRPr="00744584" w:rsidRDefault="00744584" w:rsidP="007445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Время до первой ценности.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Медианное время до получения первого бейджа или артефакта устанавливается в 5–7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дней. Краткие спринты и персонализированные планы должны обеспечить достижение этой цели и тем самым повысить вовлечённость.</w:t>
      </w:r>
    </w:p>
    <w:p w14:paraId="194B8C05" w14:textId="77777777" w:rsidR="00744584" w:rsidRPr="00744584" w:rsidRDefault="00744584" w:rsidP="007445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Индекс NPS.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К концу третьего месяца минимальный индекс готовности рекомендовать продукт (аналог NPS) должен составлять 40 и выше.</w:t>
      </w:r>
    </w:p>
    <w:p w14:paraId="0247487A" w14:textId="6EA393E8" w:rsidR="00744584" w:rsidRPr="00744584" w:rsidRDefault="00744584" w:rsidP="007445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Прогноз по базе пользователей.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В базовом сценарии планируется 20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тыс. регистраций за три месяца с активацией 35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% и активной аудиторией 5–5,5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тыс. пользователей. Оптимистичный сценарий учитывает 24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тыс. регистраций (активация 40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 xml:space="preserve">%, активных </w:t>
      </w:r>
      <w:r w:rsidRPr="00744584">
        <w:rPr>
          <w:rFonts w:ascii="Times New Roman" w:hAnsi="Times New Roman" w:cs="Times New Roman"/>
          <w:sz w:val="28"/>
          <w:szCs w:val="28"/>
        </w:rPr>
        <w:t>пользователей&gt;</w:t>
      </w:r>
      <w:r w:rsidRPr="00744584">
        <w:rPr>
          <w:rFonts w:ascii="Times New Roman" w:hAnsi="Times New Roman" w:cs="Times New Roman"/>
          <w:sz w:val="28"/>
          <w:szCs w:val="28"/>
        </w:rPr>
        <w:t> 7 тыс.). Консервативный вариант предусматривает 16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тыс. регистраций при активации 30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% и 3,5–4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тыс. активных пользователей.</w:t>
      </w:r>
    </w:p>
    <w:p w14:paraId="03B42DB1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4584">
        <w:rPr>
          <w:rFonts w:ascii="Times New Roman" w:hAnsi="Times New Roman" w:cs="Times New Roman"/>
          <w:b/>
          <w:bCs/>
          <w:sz w:val="28"/>
          <w:szCs w:val="28"/>
        </w:rPr>
        <w:t>Монетизационные</w:t>
      </w:r>
      <w:proofErr w:type="spellEnd"/>
      <w:r w:rsidRPr="00744584">
        <w:rPr>
          <w:rFonts w:ascii="Times New Roman" w:hAnsi="Times New Roman" w:cs="Times New Roman"/>
          <w:b/>
          <w:bCs/>
          <w:sz w:val="28"/>
          <w:szCs w:val="28"/>
        </w:rPr>
        <w:t xml:space="preserve"> модели</w:t>
      </w:r>
    </w:p>
    <w:p w14:paraId="324989B7" w14:textId="77777777" w:rsidR="00744584" w:rsidRPr="00744584" w:rsidRDefault="00744584" w:rsidP="00744584">
      <w:p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sz w:val="28"/>
          <w:szCs w:val="28"/>
        </w:rPr>
        <w:t>Платформа имеет несколько источников дохода, охватывающих как B2C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, так и B2B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сегменты.</w:t>
      </w:r>
    </w:p>
    <w:p w14:paraId="4A34F49B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B2C (индивидуальные пользователи)</w:t>
      </w:r>
    </w:p>
    <w:p w14:paraId="6C98C5AB" w14:textId="5DC6F0FD" w:rsidR="00744584" w:rsidRPr="00744584" w:rsidRDefault="00744584" w:rsidP="007445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Подписка Pro.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Продвинутые функции (доступ к нескольким трекам, расширенные планы, дополнительные отчёты) предоставляются по подписке стоимостью 299–599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 xml:space="preserve">₽ в месяц. Пользователям с ограниченным бюджетом доступна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фремиум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  <w:t>модель: один трек и один бейдж бесплатно с возможностью апгрейда до Pro.</w:t>
      </w:r>
    </w:p>
    <w:p w14:paraId="3BE43419" w14:textId="6338FA84" w:rsidR="00744584" w:rsidRPr="00744584" w:rsidRDefault="00744584" w:rsidP="007445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Дополнительные услуги.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Платформа предлагает экспертизу по подготовке резюме (990–1 990₽), пробные интервью (1 490–2 490₽) и проверку артефактов (1 490–3 490₽). Благодаря этим сервисам пользователь получает подтверждённые результаты и ускоряет выход на интервью.</w:t>
      </w:r>
    </w:p>
    <w:p w14:paraId="3CAF6A0A" w14:textId="48A996AC" w:rsidR="00744584" w:rsidRPr="00744584" w:rsidRDefault="00744584" w:rsidP="007445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Альтернативная монетизация.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Для пользователей с ограниченной платёжеспособностью предусмотрены партнёрские программы (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rev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share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10–30% или CPA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 xml:space="preserve">300–1 200₽ за оплаченный переход) и оплата услуг работодателем (лицензия или кредиты на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>Pack).</w:t>
      </w:r>
    </w:p>
    <w:p w14:paraId="3083DBFF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B2B и образовательные организации</w:t>
      </w:r>
    </w:p>
    <w:p w14:paraId="4D9BA1B9" w14:textId="44D935BD" w:rsidR="00744584" w:rsidRPr="00744584" w:rsidRDefault="00744584" w:rsidP="007445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Корпоративные лицензии.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Компании приобретают лицензии для доступа к функционалу платформы (панели разрывов навыков, внутренние карьерные треки,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 xml:space="preserve">Pack). Стоимость варьируется от 250 до 650₽ за сотрудника в месяц, при этом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CandidatePack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стоит 700–1400 ₽ на кандидата, а пилотные проекты – 150–400тыс. ₽.</w:t>
      </w:r>
    </w:p>
    <w:p w14:paraId="6698191C" w14:textId="5BEF7F08" w:rsidR="00744584" w:rsidRPr="00744584" w:rsidRDefault="00744584" w:rsidP="007445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Pr="00744584">
        <w:rPr>
          <w:rFonts w:ascii="Times New Roman" w:hAnsi="Times New Roman" w:cs="Times New Roman"/>
          <w:b/>
          <w:bCs/>
          <w:sz w:val="28"/>
          <w:szCs w:val="28"/>
        </w:rPr>
        <w:noBreakHyphen/>
      </w:r>
      <w:proofErr w:type="spellStart"/>
      <w:r w:rsidRPr="00744584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744584">
        <w:rPr>
          <w:rFonts w:ascii="Times New Roman" w:hAnsi="Times New Roman" w:cs="Times New Roman"/>
          <w:b/>
          <w:bCs/>
          <w:sz w:val="28"/>
          <w:szCs w:val="28"/>
        </w:rPr>
        <w:t xml:space="preserve"> для ВУЗов.</w:t>
      </w:r>
      <w:r w:rsidRPr="00744584">
        <w:rPr>
          <w:rFonts w:ascii="Times New Roman" w:hAnsi="Times New Roman" w:cs="Times New Roman"/>
          <w:sz w:val="28"/>
          <w:szCs w:val="28"/>
        </w:rPr>
        <w:t xml:space="preserve"> Университеты могут использовать брендированную версию продукта за 90–270₽ на студента в год.</w:t>
      </w:r>
    </w:p>
    <w:p w14:paraId="74083E61" w14:textId="0DE93AEA" w:rsidR="00744584" w:rsidRPr="00744584" w:rsidRDefault="00744584" w:rsidP="007445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Партнёрские программы.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Для роста выручки используются партнёрские интеграции: платформы направляют пользователей к сторонним курсам/сервисам и получают долю выручки (10–30%) или CPA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комиссию.</w:t>
      </w:r>
    </w:p>
    <w:p w14:paraId="7B4E0F10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Бизнес</w:t>
      </w:r>
      <w:r w:rsidRPr="00744584">
        <w:rPr>
          <w:rFonts w:ascii="Times New Roman" w:hAnsi="Times New Roman" w:cs="Times New Roman"/>
          <w:b/>
          <w:bCs/>
          <w:sz w:val="28"/>
          <w:szCs w:val="28"/>
        </w:rPr>
        <w:noBreakHyphen/>
        <w:t>ценность и ROI</w:t>
      </w:r>
    </w:p>
    <w:p w14:paraId="7CA4D484" w14:textId="77777777" w:rsidR="00744584" w:rsidRPr="00744584" w:rsidRDefault="00744584" w:rsidP="00744584">
      <w:p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sz w:val="28"/>
          <w:szCs w:val="28"/>
        </w:rPr>
        <w:t>Платформа создаёт измеряемую отдачу для компаний: сокращает затраты на внешний найм, повышает удержание сотрудников и способствует внутренней мобильности. Нематериальные активы включают граф компетенций, библиотеку практических заданий, шаблоны артефактов и дизайн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 xml:space="preserve">систему интерфейсов. В отчётности соблюдаются требования по защите данных: данные и журналы хранятся в РФ; доступ к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> Pack предоставляется только при явном согласии пользователя.</w:t>
      </w:r>
    </w:p>
    <w:p w14:paraId="5A79C7F5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Стратегия привлечения и удержания</w:t>
      </w:r>
    </w:p>
    <w:p w14:paraId="0CF8F386" w14:textId="73A7AE8B" w:rsidR="00744584" w:rsidRPr="00744584" w:rsidRDefault="00744584" w:rsidP="007445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Партнёрские каналы.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В рамках партнёрской модели к концу 3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 xml:space="preserve">го месяца планируется подключить хотя бы одного партнёра; ожидается, </w:t>
      </w:r>
      <w:r w:rsidRPr="00744584">
        <w:rPr>
          <w:rFonts w:ascii="Times New Roman" w:hAnsi="Times New Roman" w:cs="Times New Roman"/>
          <w:sz w:val="28"/>
          <w:szCs w:val="28"/>
        </w:rPr>
        <w:lastRenderedPageBreak/>
        <w:t xml:space="preserve">что партнёры принесут 15–20% новых регистраций. Для партнёров предусмотрены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  <w:t>метки и прозрачные схемы вознаграждений. Индекс NPS должен быть ≥40.</w:t>
      </w:r>
    </w:p>
    <w:p w14:paraId="45A31646" w14:textId="77777777" w:rsidR="00744584" w:rsidRPr="00744584" w:rsidRDefault="00744584" w:rsidP="007445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Реферальная программа.</w:t>
      </w:r>
      <w:r w:rsidRPr="00744584">
        <w:rPr>
          <w:rFonts w:ascii="Times New Roman" w:hAnsi="Times New Roman" w:cs="Times New Roman"/>
          <w:sz w:val="28"/>
          <w:szCs w:val="28"/>
        </w:rPr>
        <w:t xml:space="preserve"> Система мотивирует пользователей приглашать друзей: за каждого друга, начавшего карьерный трек, начисляется один премиум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пункт (не более трёх в месяц). Для предотвращения мошенничества используются проверки по устройствам и IP, а сама механика спроектирована как анти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фрод.</w:t>
      </w:r>
    </w:p>
    <w:p w14:paraId="1C9A56EB" w14:textId="68E77CAF" w:rsidR="00744584" w:rsidRPr="00744584" w:rsidRDefault="00744584" w:rsidP="007445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Политика коммуникаций.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Вводится центральный оркестратор уведомлений: поддерживаются «тихие часы», лимиты на количество сообщений, дайджесты и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in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app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inbox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. Каналы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e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mail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, мессенджеры и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  <w:t>уведомления координируются так, чтобы минимизировать шум. Сервис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уровни по коммуникациям контролируют уровень шумовой нагрузки (P50/P95), отсутствие нарушений «тихих часов» и нулевую долю сообщений без валидного согласия пользователя.</w:t>
      </w:r>
    </w:p>
    <w:p w14:paraId="680546E4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Соблюдение законодательства и приватность</w:t>
      </w:r>
    </w:p>
    <w:p w14:paraId="2D7D8AA5" w14:textId="212B771E" w:rsidR="00744584" w:rsidRPr="00744584" w:rsidRDefault="00744584" w:rsidP="007445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Локализация данных.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Все персональные данные и системные журналы хранятся в пределах Российской Федерации. Платформа соответствует требованиям Федеральных законов №152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ФЗ и №242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 xml:space="preserve">ФЗ; введён центр согласий, позволяющий пользователю управлять разрешениями на обработку данных и передачу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CandidatePack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>.</w:t>
      </w:r>
    </w:p>
    <w:p w14:paraId="443CB269" w14:textId="77777777" w:rsidR="00744584" w:rsidRPr="00744584" w:rsidRDefault="00744584" w:rsidP="007445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Отсутствие перепродажи данных.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Политика «без перепродажи данных» предусматривает использование только обезличенной аналитики; доступ к подробным отчётам предоставляется исключительно по явному согласию пользователя.</w:t>
      </w:r>
    </w:p>
    <w:p w14:paraId="67953125" w14:textId="77777777" w:rsidR="00744584" w:rsidRPr="00744584" w:rsidRDefault="00744584" w:rsidP="007445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Защита доступа.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Предусмотрены SSO, многофакторная аутентификация (MFA), ролевая модель RBAC и журналы аудита действий; для закрытых контуров доступна работа через локального агента. Все интеграции защищены фича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 xml:space="preserve">флагами и системой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ретраев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>, а сервис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уровни контролируются по SLA.</w:t>
      </w:r>
    </w:p>
    <w:p w14:paraId="618B51D3" w14:textId="77777777" w:rsidR="00744584" w:rsidRPr="00744584" w:rsidRDefault="00744584" w:rsidP="00744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Риски и меры смягчения</w:t>
      </w:r>
    </w:p>
    <w:p w14:paraId="38CEEF62" w14:textId="120C381F" w:rsidR="00744584" w:rsidRPr="00744584" w:rsidRDefault="00744584" w:rsidP="007445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Низкая вовлечённость.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Для снижения риска оттока предусмотрены недельные спринты, быстрая диагностика, создание первого артефакта в течение 7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r w:rsidRPr="00744584">
        <w:rPr>
          <w:rFonts w:ascii="Times New Roman" w:hAnsi="Times New Roman" w:cs="Times New Roman"/>
          <w:sz w:val="28"/>
          <w:szCs w:val="28"/>
        </w:rPr>
        <w:t xml:space="preserve">дней и политика «мягких» напоминаний. Механизмы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deeplink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помогают вернуть пользователя к прерванному сценарию.</w:t>
      </w:r>
    </w:p>
    <w:p w14:paraId="75C2535F" w14:textId="77777777" w:rsidR="00744584" w:rsidRPr="00744584" w:rsidRDefault="00744584" w:rsidP="007445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Нестабильные интеграции.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Используется промежуточный слой из очередей сообщений,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ретраев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 и идемпотентности; внедрены фича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флаги и постоянный мониторинг SLO. Для закрытых корпоративных контуров доступен локальный агент.</w:t>
      </w:r>
    </w:p>
    <w:p w14:paraId="3B055C5F" w14:textId="659AB882" w:rsidR="00744584" w:rsidRPr="00744584" w:rsidRDefault="00744584" w:rsidP="007445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b/>
          <w:bCs/>
          <w:sz w:val="28"/>
          <w:szCs w:val="28"/>
        </w:rPr>
        <w:t>Зависимость от зарубежных сервисов.</w:t>
      </w:r>
      <w:r w:rsidRPr="00744584">
        <w:rPr>
          <w:rFonts w:ascii="Times New Roman" w:hAnsi="Times New Roman" w:cs="Times New Roman"/>
          <w:sz w:val="28"/>
          <w:szCs w:val="28"/>
        </w:rPr>
        <w:t xml:space="preserve"> Поддерживаются российские облака (Yandex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>, VK</w:t>
      </w:r>
      <w:r w:rsidRPr="00744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SberCloud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</w:r>
      <w:proofErr w:type="spellStart"/>
      <w:r w:rsidRPr="00744584">
        <w:rPr>
          <w:rFonts w:ascii="Times New Roman" w:hAnsi="Times New Roman" w:cs="Times New Roman"/>
          <w:sz w:val="28"/>
          <w:szCs w:val="28"/>
        </w:rPr>
        <w:t>premise</w:t>
      </w:r>
      <w:proofErr w:type="spellEnd"/>
      <w:r w:rsidRPr="00744584">
        <w:rPr>
          <w:rFonts w:ascii="Times New Roman" w:hAnsi="Times New Roman" w:cs="Times New Roman"/>
          <w:sz w:val="28"/>
          <w:szCs w:val="28"/>
        </w:rPr>
        <w:noBreakHyphen/>
        <w:t>развёртывания, а также офлайн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устойчивость продукта, позволяющая сохранять функциональность при временной недоступности внешних сервисов.</w:t>
      </w:r>
    </w:p>
    <w:p w14:paraId="57B581E6" w14:textId="77777777" w:rsidR="00744584" w:rsidRPr="00744584" w:rsidRDefault="00744584" w:rsidP="00744584">
      <w:pPr>
        <w:rPr>
          <w:rFonts w:ascii="Times New Roman" w:hAnsi="Times New Roman" w:cs="Times New Roman"/>
          <w:sz w:val="28"/>
          <w:szCs w:val="28"/>
        </w:rPr>
      </w:pPr>
      <w:r w:rsidRPr="00744584">
        <w:rPr>
          <w:rFonts w:ascii="Times New Roman" w:hAnsi="Times New Roman" w:cs="Times New Roman"/>
          <w:sz w:val="28"/>
          <w:szCs w:val="28"/>
        </w:rPr>
        <w:t>Понимание этих бизнес</w:t>
      </w:r>
      <w:r w:rsidRPr="00744584">
        <w:rPr>
          <w:rFonts w:ascii="Times New Roman" w:hAnsi="Times New Roman" w:cs="Times New Roman"/>
          <w:sz w:val="28"/>
          <w:szCs w:val="28"/>
        </w:rPr>
        <w:noBreakHyphen/>
        <w:t>требований позволяет команде сосредоточиться на метриках и приоритетах, обеспечивающих рост продукта и возврат инвестиций.</w:t>
      </w:r>
    </w:p>
    <w:p w14:paraId="350AE08F" w14:textId="77777777" w:rsidR="001334CA" w:rsidRPr="00744584" w:rsidRDefault="001334CA">
      <w:pPr>
        <w:rPr>
          <w:rFonts w:ascii="Times New Roman" w:hAnsi="Times New Roman" w:cs="Times New Roman"/>
          <w:sz w:val="28"/>
          <w:szCs w:val="28"/>
        </w:rPr>
      </w:pPr>
    </w:p>
    <w:sectPr w:rsidR="001334CA" w:rsidRPr="0074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823"/>
    <w:multiLevelType w:val="multilevel"/>
    <w:tmpl w:val="90BC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240A"/>
    <w:multiLevelType w:val="multilevel"/>
    <w:tmpl w:val="B3B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C1E66"/>
    <w:multiLevelType w:val="multilevel"/>
    <w:tmpl w:val="BA0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E1361"/>
    <w:multiLevelType w:val="multilevel"/>
    <w:tmpl w:val="3F7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B2E83"/>
    <w:multiLevelType w:val="multilevel"/>
    <w:tmpl w:val="2712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D0428"/>
    <w:multiLevelType w:val="multilevel"/>
    <w:tmpl w:val="37C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55965">
    <w:abstractNumId w:val="3"/>
  </w:num>
  <w:num w:numId="2" w16cid:durableId="639843976">
    <w:abstractNumId w:val="1"/>
  </w:num>
  <w:num w:numId="3" w16cid:durableId="1627614852">
    <w:abstractNumId w:val="2"/>
  </w:num>
  <w:num w:numId="4" w16cid:durableId="1423143309">
    <w:abstractNumId w:val="0"/>
  </w:num>
  <w:num w:numId="5" w16cid:durableId="602348548">
    <w:abstractNumId w:val="4"/>
  </w:num>
  <w:num w:numId="6" w16cid:durableId="1162502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9"/>
    <w:rsid w:val="001334CA"/>
    <w:rsid w:val="00545749"/>
    <w:rsid w:val="00744584"/>
    <w:rsid w:val="00795DEC"/>
    <w:rsid w:val="00D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5801"/>
  <w15:chartTrackingRefBased/>
  <w15:docId w15:val="{6D95907D-C707-4DB6-81DA-F5CFFDD3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5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57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7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5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5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5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5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5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5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5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57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5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57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5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Горюнов</dc:creator>
  <cp:keywords/>
  <dc:description/>
  <cp:lastModifiedBy>Ярослав Горюнов</cp:lastModifiedBy>
  <cp:revision>2</cp:revision>
  <dcterms:created xsi:type="dcterms:W3CDTF">2025-10-02T11:49:00Z</dcterms:created>
  <dcterms:modified xsi:type="dcterms:W3CDTF">2025-10-02T11:51:00Z</dcterms:modified>
</cp:coreProperties>
</file>