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SWCM-VID-20260830-01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품질 / 시공동영상기록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[주요 구조부 동영상 촬영 기록관리대장]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SWCM-VID-20260830-01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 공 자:</w:t>
      </w:r>
      <w:r>
        <w:rPr>
          <w:rFonts w:ascii="맑은 고딕" w:hAnsi="맑은 고딕"/>
          <w:sz w:val="19"/>
        </w:rPr>
        <w:t xml:space="preserve"> (주)대우건설 / </w:t>
      </w:r>
      <w:r>
        <w:rPr>
          <w:rFonts w:ascii="맑은 고딕" w:hAnsi="맑은 고딕"/>
          <w:b/>
          <w:sz w:val="19"/>
        </w:rPr>
        <w:t>건설사업관리자:</w:t>
      </w:r>
      <w:r>
        <w:rPr>
          <w:rFonts w:ascii="맑은 고딕" w:hAnsi="맑은 고딕"/>
          <w:sz w:val="19"/>
        </w:rPr>
        <w:t xml:space="preserve"> ㈜삼우씨엠건축사사무소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총괄책임자: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작성일자:</w:t>
      </w:r>
      <w:r>
        <w:rPr>
          <w:rFonts w:ascii="맑은 고딕" w:hAnsi="맑은 고딕"/>
          <w:sz w:val="19"/>
        </w:rPr>
        <w:t xml:space="preserve"> 2026.08.30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동영상 기록관리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법적 근거:</w:t>
      </w:r>
      <w:r>
        <w:rPr>
          <w:rFonts w:ascii="맑은 고딕" w:hAnsi="맑은 고딕"/>
          <w:sz w:val="19"/>
        </w:rPr>
        <w:t xml:space="preserve"> 건설기술 진흥법 제62조, 지자체 공사현장 주요구조부 동영상 촬영 및 보관 지침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촬영 대상:</w:t>
      </w:r>
      <w:r>
        <w:rPr>
          <w:rFonts w:ascii="맑은 고딕" w:hAnsi="맑은 고딕"/>
          <w:sz w:val="19"/>
        </w:rPr>
        <w:t xml:space="preserve"> 가설 흙막이, 기초 파일, 철근 배근, 구조체 콘크리트 타설, 내화구조 시공 등 은폐 부위 전 공종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등록 동영상: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총 2건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주요 구조부 동영상 촬영 상세 기록 대장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촬영 공종/부위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촬영일자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상세 위치(그리드)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동영상 파일명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검측 확인 사항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입회 감리원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검측 판정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**지하 2층 바닥 슬래브 철근배근 검측**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2026.08.29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2층 1구역 (X1~X5 / Y2~Y4)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`VID_20260829_B2F_SLAB_REBAR.mp4`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상·하부근 피복두께 50mm 확보, 이음길이 40d 확인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김수석 책임건설사업관리기술인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**적합 (PASS)**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**지하 2층 바닥 슬래브 콘크리트 타설**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2026.08.29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2층 1구역 (타설량 320m3)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`VID_20260829_B2F_CONC_POUR.mp4`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레미콘 시험 입회, 바이브레이터 다짐 확인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김수석 책임건설사업관리기술인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**적합 (PASS)**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감리원 종합 확인 의견</w:t>
      </w:r>
    </w:p>
    <w:p>
      <w:r>
        <w:rPr>
          <w:rFonts w:ascii="맑은 고딕" w:hAnsi="맑은 고딕"/>
          <w:sz w:val="19"/>
        </w:rPr>
        <w:t>상기 주요 구조부 은폐 구간 및 타설 과정에 대한 동영상 촬영 기록을 전수 확인한 결과, 설계도서 및 KCS 시공표준에 부합하게 시공되었음을 확인하며, 관련 영상 파일은 준공 후 인허가 관청 제출 및 영구 보관용 스토리지에 무단 변조 없이 정상 저장되었음을 확인함.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