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SWCM-FINAL-20260830-01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30일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건설사업관리 종합 (준공)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[준공 감리완료보고서]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문서번호:</w:t>
      </w:r>
      <w:r>
        <w:rPr>
          <w:rFonts w:ascii="맑은 고딕" w:hAnsi="맑은 고딕"/>
          <w:sz w:val="19"/>
        </w:rPr>
        <w:t xml:space="preserve"> SWCM-FINAL-20260830-01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발 주 자:</w:t>
      </w:r>
      <w:r>
        <w:rPr>
          <w:rFonts w:ascii="맑은 고딕" w:hAnsi="맑은 고딕"/>
          <w:sz w:val="19"/>
        </w:rPr>
        <w:t xml:space="preserve"> (주)삼우건설 발주처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시 공 자:</w:t>
      </w:r>
      <w:r>
        <w:rPr>
          <w:rFonts w:ascii="맑은 고딕" w:hAnsi="맑은 고딕"/>
          <w:sz w:val="19"/>
        </w:rPr>
        <w:t xml:space="preserve"> (주)대우건설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건설사업관리자:</w:t>
      </w:r>
      <w:r>
        <w:rPr>
          <w:rFonts w:ascii="맑은 고딕" w:hAnsi="맑은 고딕"/>
          <w:sz w:val="19"/>
        </w:rPr>
        <w:t xml:space="preserve"> ㈜삼우씨엠건축사사무소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책임건설사업관리기술인:</w:t>
      </w:r>
      <w:r>
        <w:rPr>
          <w:rFonts w:ascii="맑은 고딕" w:hAnsi="맑은 고딕"/>
          <w:sz w:val="19"/>
        </w:rPr>
        <w:t xml:space="preserve"> 김수석 책임건설사업관리기술인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보고일자:</w:t>
      </w:r>
      <w:r>
        <w:rPr>
          <w:rFonts w:ascii="맑은 고딕" w:hAnsi="맑은 고딕"/>
          <w:sz w:val="19"/>
        </w:rPr>
        <w:t xml:space="preserve"> 2026년 08월 30일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공사 및 건설사업관리(CM) 총괄 개요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사 업 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공사기간:</w:t>
      </w:r>
      <w:r>
        <w:rPr>
          <w:rFonts w:ascii="맑은 고딕" w:hAnsi="맑은 고딕"/>
          <w:sz w:val="19"/>
        </w:rPr>
        <w:t xml:space="preserve"> 2024년 03월 01일 ~ 2026년 08월 31일 (30개월)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시설규모:</w:t>
      </w:r>
      <w:r>
        <w:rPr>
          <w:rFonts w:ascii="맑은 고딕" w:hAnsi="맑은 고딕"/>
          <w:sz w:val="19"/>
        </w:rPr>
        <w:t xml:space="preserve"> 지하 4층 / 지상 25층, 연면적 45,820㎡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감리단 구성:</w:t>
      </w:r>
      <w:r>
        <w:rPr>
          <w:rFonts w:ascii="맑은 고딕" w:hAnsi="맑은 고딕"/>
          <w:sz w:val="19"/>
        </w:rPr>
        <w:t xml:space="preserve"> 총괄책임 1명, 토목 2명, 건축구조 2명, 기계/소방 2명, 전기 1명, 안전 1명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공정관리 실적 총괄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최종 계획 공정률:</w:t>
      </w:r>
      <w:r>
        <w:rPr>
          <w:rFonts w:ascii="맑은 고딕" w:hAnsi="맑은 고딕"/>
          <w:sz w:val="19"/>
        </w:rPr>
        <w:t xml:space="preserve"> 100.0% / </w:t>
      </w:r>
      <w:r>
        <w:rPr>
          <w:rFonts w:ascii="맑은 고딕" w:hAnsi="맑은 고딕"/>
          <w:b/>
          <w:sz w:val="19"/>
        </w:rPr>
        <w:t>최종 실적 공정률: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100.0% (공기 내 준공 달성)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주요 마일스톤 달성 내역: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  <w:t>가설 흙막이 및 토공사 완료: 2024.10.15</w:t>
      </w:r>
    </w:p>
    <w:p>
      <w:pPr>
        <w:pStyle w:val="ListBullet"/>
      </w:pPr>
      <w:r>
        <w:rPr>
          <w:rFonts w:ascii="맑은 고딕" w:hAnsi="맑은 고딕"/>
          <w:sz w:val="19"/>
        </w:rPr>
        <w:t>지하 골조 및 지상 골조 완료: 2025.11.30</w:t>
      </w:r>
    </w:p>
    <w:p>
      <w:pPr>
        <w:pStyle w:val="ListBullet"/>
      </w:pPr>
      <w:r>
        <w:rPr>
          <w:rFonts w:ascii="맑은 고딕" w:hAnsi="맑은 고딕"/>
          <w:sz w:val="19"/>
        </w:rPr>
        <w:t>마감 및 설비/소방 시운전 완료: 2026.08.15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품질관리 및 시험·검측 실적 총괄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구조체 콘크리트 28일 압축강도:</w:t>
      </w:r>
      <w:r>
        <w:rPr>
          <w:rFonts w:ascii="맑은 고딕" w:hAnsi="맑은 고딕"/>
          <w:sz w:val="19"/>
        </w:rPr>
        <w:t xml:space="preserve"> 총 48회 타설 전 회차 설계기준강도($f_{ck}$) 100% 이상 충족 (품질관리대장 영구 보관)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주요 자재 밀시트 및 KS 공인성적서 검증:</w:t>
      </w:r>
      <w:r>
        <w:rPr>
          <w:rFonts w:ascii="맑은 고딕" w:hAnsi="맑은 고딕"/>
          <w:sz w:val="19"/>
        </w:rPr>
        <w:t xml:space="preserve"> 철근, H형강, 단열재, 내화뿜칠 등 총 90건 전수 검증 완료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공종별 감리 검측 실적:</w:t>
      </w:r>
      <w:r>
        <w:rPr>
          <w:rFonts w:ascii="맑은 고딕" w:hAnsi="맑은 고딕"/>
          <w:sz w:val="19"/>
        </w:rPr>
        <w:t xml:space="preserve"> 검측요청 및 결과통보서 총 87건 전수 적합 승인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4. 안전 및 환경관리 실적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일일 TBM 및 위험성평가:</w:t>
      </w:r>
      <w:r>
        <w:rPr>
          <w:rFonts w:ascii="맑은 고딕" w:hAnsi="맑은 고딕"/>
          <w:sz w:val="19"/>
        </w:rPr>
        <w:t xml:space="preserve"> 고위험 작업(굴착, 양중, 비계, 용접) 일일 점검표 152회 작성 및 전파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중대재해 발생 건수: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0건 (무재해 준공 달성)</w:t>
      </w:r>
      <w:r>
        <w:rPr>
          <w:rFonts w:ascii="맑은 고딕" w:hAnsi="맑은 고딕"/>
          <w:sz w:val="19"/>
        </w:rPr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5. 현장 시정지시(NCR) 및 설계변경 이력 총괄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부적합 시정지시서(NCR) 발급 및 조치 완료:</w:t>
      </w:r>
      <w:r>
        <w:rPr>
          <w:rFonts w:ascii="맑은 고딕" w:hAnsi="맑은 고딕"/>
          <w:sz w:val="19"/>
        </w:rPr>
        <w:t xml:space="preserve"> 총 10건 발부 및 조치 전/후 사진대지 대조 100% 시정완료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발주처 지시공문 및 설계변경(VE) 반영:</w:t>
      </w:r>
      <w:r>
        <w:rPr>
          <w:rFonts w:ascii="맑은 고딕" w:hAnsi="맑은 고딕"/>
          <w:sz w:val="19"/>
        </w:rPr>
        <w:t xml:space="preserve"> 총 1건 지시사항 누락 없이 시공 반영 확인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6. 감리단 종합 준공검사 의견</w:t>
      </w:r>
    </w:p>
    <w:p>
      <w:r>
        <w:rPr>
          <w:rFonts w:ascii="맑은 고딕" w:hAnsi="맑은 고딕"/>
          <w:sz w:val="19"/>
        </w:rPr>
        <w:t>본 공사는 건설기술 진흥법, 건축법, 소방법 등 관련 법령과 승인된 설계도서 및 특기시방서 기준에 적합하게 시공되었음을 확인하며, 인허가 관청의 사용승인(준공인가) 신청에 '적합'함을 최종 확인합니다.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30일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