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1A365D"/>
          <w:sz w:val="40"/>
        </w:rPr>
        <w:t>건설사업관리(CM) 기술검토의견서</w:t>
      </w:r>
    </w:p>
    <w:p>
      <w:pPr>
        <w:jc w:val="center"/>
      </w:pPr>
      <w:r>
        <w:rPr>
          <w:rFonts w:ascii="Arial" w:hAnsi="Arial"/>
          <w:color w:val="718096"/>
          <w:sz w:val="20"/>
        </w:rPr>
        <w:t>Technical Review &amp; Cross-Examination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문서번호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SWCM-SUB-20260830-01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검토일자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2026년 08월 30일</w:t>
            </w:r>
          </w:p>
        </w:tc>
      </w:tr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프로젝트명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삼우씨엠 신축공사 CM현장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검토분야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계약 / 하도급관리</w:t>
            </w:r>
          </w:p>
        </w:tc>
      </w:tr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검토자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김수석 책임건설사업관리기술인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관리기관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㈜삼우씨엠건축사사무소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[하도급계약 통보서 및 적정성 검토의견서]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문서번호:</w:t>
      </w:r>
      <w:r>
        <w:rPr>
          <w:rFonts w:ascii="맑은 고딕" w:hAnsi="맑은 고딕"/>
          <w:sz w:val="19"/>
        </w:rPr>
        <w:t xml:space="preserve"> SWCM-SUB-20260830-01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공 사 명:</w:t>
      </w:r>
      <w:r>
        <w:rPr>
          <w:rFonts w:ascii="맑은 고딕" w:hAnsi="맑은 고딕"/>
          <w:sz w:val="19"/>
        </w:rPr>
        <w:t xml:space="preserve"> 삼우씨엠 신축공사 CM현장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하도급 공종:</w:t>
      </w:r>
      <w:r>
        <w:rPr>
          <w:rFonts w:ascii="맑은 고딕" w:hAnsi="맑은 고딕"/>
          <w:sz w:val="19"/>
        </w:rPr>
        <w:t xml:space="preserve"> 전문건설업종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원도급자:</w:t>
      </w:r>
      <w:r>
        <w:rPr>
          <w:rFonts w:ascii="맑은 고딕" w:hAnsi="맑은 고딕"/>
          <w:sz w:val="19"/>
        </w:rPr>
        <w:t xml:space="preserve"> (주)대우건설 / </w:t>
      </w:r>
      <w:r>
        <w:rPr>
          <w:rFonts w:ascii="맑은 고딕" w:hAnsi="맑은 고딕"/>
          <w:b/>
          <w:sz w:val="19"/>
        </w:rPr>
        <w:t>하도급자:</w:t>
      </w:r>
      <w:r>
        <w:rPr>
          <w:rFonts w:ascii="맑은 고딕" w:hAnsi="맑은 고딕"/>
          <w:sz w:val="19"/>
        </w:rPr>
        <w:t xml:space="preserve"> (주)삼우토건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검토일자:</w:t>
      </w:r>
      <w:r>
        <w:rPr>
          <w:rFonts w:ascii="맑은 고딕" w:hAnsi="맑은 고딕"/>
          <w:sz w:val="19"/>
        </w:rPr>
        <w:t xml:space="preserve"> 2026.08.30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책임감리원:</w:t>
      </w:r>
      <w:r>
        <w:rPr>
          <w:rFonts w:ascii="맑은 고딕" w:hAnsi="맑은 고딕"/>
          <w:sz w:val="19"/>
        </w:rPr>
        <w:t xml:space="preserve"> 김수석 책임건설사업관리기술인</w:t>
      </w:r>
    </w:p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1. 하도급계약 적정성 종합 판정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원도급금액:</w:t>
      </w:r>
      <w:r>
        <w:rPr>
          <w:rFonts w:ascii="맑은 고딕" w:hAnsi="맑은 고딕"/>
          <w:sz w:val="19"/>
        </w:rPr>
        <w:t xml:space="preserve"> </w:t>
      </w:r>
      <w:r>
        <w:rPr>
          <w:rFonts w:ascii="맑은 고딕" w:hAnsi="맑은 고딕"/>
          <w:b/>
          <w:sz w:val="19"/>
        </w:rPr>
        <w:t>1,500,000,000원</w:t>
      </w:r>
      <w:r>
        <w:rPr>
          <w:rFonts w:ascii="맑은 고딕" w:hAnsi="맑은 고딕"/>
          <w:sz w:val="19"/>
        </w:rPr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하도급금액:</w:t>
      </w:r>
      <w:r>
        <w:rPr>
          <w:rFonts w:ascii="맑은 고딕" w:hAnsi="맑은 고딕"/>
          <w:sz w:val="19"/>
        </w:rPr>
        <w:t xml:space="preserve"> </w:t>
      </w:r>
      <w:r>
        <w:rPr>
          <w:rFonts w:ascii="맑은 고딕" w:hAnsi="맑은 고딕"/>
          <w:b/>
          <w:sz w:val="19"/>
        </w:rPr>
        <w:t>1,260,000,000원</w:t>
      </w:r>
      <w:r>
        <w:rPr>
          <w:rFonts w:ascii="맑은 고딕" w:hAnsi="맑은 고딕"/>
          <w:sz w:val="19"/>
        </w:rPr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하도급 비율:</w:t>
      </w:r>
      <w:r>
        <w:rPr>
          <w:rFonts w:ascii="맑은 고딕" w:hAnsi="맑은 고딕"/>
          <w:sz w:val="19"/>
        </w:rPr>
        <w:t xml:space="preserve"> </w:t>
      </w:r>
      <w:r>
        <w:rPr>
          <w:rFonts w:ascii="맑은 고딕" w:hAnsi="맑은 고딕"/>
          <w:b/>
          <w:sz w:val="19"/>
        </w:rPr>
        <w:t>84.00%</w:t>
      </w:r>
      <w:r>
        <w:rPr>
          <w:rFonts w:ascii="맑은 고딕" w:hAnsi="맑은 고딕"/>
          <w:sz w:val="19"/>
        </w:rPr>
        <w:t xml:space="preserve"> (법정 기준: 82.0% 이상)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최종 검토결과:</w:t>
      </w:r>
      <w:r>
        <w:rPr>
          <w:rFonts w:ascii="맑은 고딕" w:hAnsi="맑은 고딕"/>
          <w:sz w:val="19"/>
        </w:rPr>
        <w:t xml:space="preserve"> </w:t>
      </w:r>
      <w:r>
        <w:rPr>
          <w:rFonts w:ascii="맑은 고딕" w:hAnsi="맑은 고딕"/>
          <w:b/>
          <w:sz w:val="19"/>
        </w:rPr>
        <w:t>하도급 적정성 정밀심사 요구 (REVIEW_REQUIRED)</w:t>
      </w:r>
      <w:r>
        <w:rPr>
          <w:rFonts w:ascii="맑은 고딕" w:hAnsi="맑은 고딕"/>
          <w:sz w:val="19"/>
        </w:rPr>
      </w:r>
    </w:p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2. 법정 심사기준별 세부 검토 대조표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No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심사 항목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법적 근거 및 기준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시공사 제출 내용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판정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감리의견 및 조치사항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1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하도급 계약비율 적정성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도급금액의 82% 이상 (건산법 제31조제1항)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84.00% (1,260,000,000원 / 1,500,000,000원)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✔ **적정 (PASS)**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기준(82%) 이상으로 적정 통보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2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원수급인 직접시공 의무비율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도급액 70억원 미만 시 20~50% 직접시공 (건산법 제28조의2)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16.00% 잔여 공종 직접시공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C53030"/>
                <w:sz w:val="18"/>
              </w:rPr>
              <w:t>⚠️ **미달 (FAIL)**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직접시공계획서 제출 및 감리원 승인 확인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3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하수급인 전문건설업 면허 등록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해당 공종 전문건설업 등록증 보유 (건산법 제9조)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토공사업, 비계구조물해체공사업 (보유)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✔ **적합 (PASS)**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전문건설업 등록증 사본 및 시공능력평가액 확인 완료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4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불법 재하도급(일괄/무단) 금지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하수급인의 타인 재하도급 원칙적 금지 (건산법 제29조)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재하도급 계획 없음 (직접 노무 투입)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✔ **적합 (PASS)**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현장 근로자 노무비 지급명세서 및 작업일보 상시 대조</w:t>
            </w:r>
          </w:p>
        </w:tc>
      </w:tr>
    </w:tbl>
    <w:p/>
    <w:p/>
    <w:p>
      <w:pPr>
        <w:jc w:val="right"/>
      </w:pPr>
      <w:r>
        <w:rPr>
          <w:rFonts w:ascii="맑은 고딕" w:hAnsi="맑은 고딕"/>
          <w:b/>
          <w:color w:val="1A365D"/>
          <w:sz w:val="20"/>
        </w:rPr>
        <w:t>작성일: 2026년 08월 30일</w:t>
        <w:br/>
        <w:t>주식회사 삼우씨엠건축사사무소 건설사업관리단 (인)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