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SWCM-SUB-20260829-01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계약 / 하도급관리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[하도급계약 통보서 및 적정성 검토의견서]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SWCM-SUB-20260829-01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하도급 공종:</w:t>
      </w:r>
      <w:r>
        <w:rPr>
          <w:rFonts w:ascii="맑은 고딕" w:hAnsi="맑은 고딕"/>
          <w:sz w:val="19"/>
        </w:rPr>
        <w:t xml:space="preserve"> 전문건설업종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원도급자:</w:t>
      </w:r>
      <w:r>
        <w:rPr>
          <w:rFonts w:ascii="맑은 고딕" w:hAnsi="맑은 고딕"/>
          <w:sz w:val="19"/>
        </w:rPr>
        <w:t xml:space="preserve"> (주)대우건설 / </w:t>
      </w:r>
      <w:r>
        <w:rPr>
          <w:rFonts w:ascii="맑은 고딕" w:hAnsi="맑은 고딕"/>
          <w:b/>
          <w:sz w:val="19"/>
        </w:rPr>
        <w:t>하도급자:</w:t>
      </w:r>
      <w:r>
        <w:rPr>
          <w:rFonts w:ascii="맑은 고딕" w:hAnsi="맑은 고딕"/>
          <w:sz w:val="19"/>
        </w:rPr>
        <w:t xml:space="preserve"> (주)삼우토건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검토일자:</w:t>
      </w:r>
      <w:r>
        <w:rPr>
          <w:rFonts w:ascii="맑은 고딕" w:hAnsi="맑은 고딕"/>
          <w:sz w:val="19"/>
        </w:rPr>
        <w:t xml:space="preserve">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하도급계약 적정성 종합 판정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원도급금액: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1,500,000,000원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하도급금액: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1,260,000,000원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하도급 비율: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84.00%</w:t>
      </w:r>
      <w:r>
        <w:rPr>
          <w:rFonts w:ascii="맑은 고딕" w:hAnsi="맑은 고딕"/>
          <w:sz w:val="19"/>
        </w:rPr>
        <w:t xml:space="preserve"> (법정 기준: 82.0% 이상)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검토결과: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하도급 적정성 정밀심사 요구 (REVIEW_REQUIRED)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법정 심사기준별 세부 검토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심사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법적 근거 및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내용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감리의견 및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하도급 계약비율 적정성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도급금액의 82% 이상 (건산법 제31조제1항)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84.00% (1,260,000,000원 / 1,500,000,000원)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**적정 (PASS)**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기준(82%) 이상으로 적정 통보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원수급인 직접시공 의무비율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도급액 70억원 미만 시 20~50% 직접시공 (건산법 제28조의2)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16.00% 잔여 공종 직접시공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C53030"/>
                <w:sz w:val="18"/>
              </w:rPr>
              <w:t>⚠️ **미달 (FAIL)**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직접시공계획서 제출 및 감리원 승인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하수급인 전문건설업 면허 등록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해당 공종 전문건설업 등록증 보유 (건산법 제9조)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토공사업, 비계구조물해체공사업 (보유)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전문건설업 등록증 사본 및 시공능력평가액 확인 완료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불법 재하도급(일괄/무단) 금지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하수급인의 타인 재하도급 원칙적 금지 (건산법 제29조)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재하도급 계획 없음 (직접 노무 투입)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현장 근로자 노무비 지급명세서 및 작업일보 상시 대조</w:t>
            </w:r>
          </w:p>
        </w:tc>
      </w:tr>
    </w:tbl>
    <w:p/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