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SWCM-REV-20260829-01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건설사업관리(CM) 종합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검토 개요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사업명: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 대상 도서:</w:t>
      </w:r>
      <w:r>
        <w:rPr>
          <w:rFonts w:ascii="맑은 고딕" w:hAnsi="맑은 고딕"/>
          <w:sz w:val="19"/>
        </w:rPr>
        <w:t xml:space="preserve"> sample_건축_단열및시공계획서.docx (첨부: 자체 계산서, sample_과업지시서_특기시방.hwpx)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시공사:</w:t>
      </w:r>
      <w:r>
        <w:rPr>
          <w:rFonts w:ascii="맑은 고딕" w:hAnsi="맑은 고딕"/>
          <w:sz w:val="19"/>
        </w:rPr>
        <w:t xml:space="preserve"> (주)대우건설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 일자:</w:t>
      </w:r>
      <w:r>
        <w:rPr>
          <w:rFonts w:ascii="맑은 고딕" w:hAnsi="맑은 고딕"/>
          <w:sz w:val="19"/>
        </w:rPr>
        <w:t xml:space="preserve"> 테스트_건축_종합검토의견서.docx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책임 감리원:</w:t>
      </w:r>
      <w:r>
        <w:rPr>
          <w:rFonts w:ascii="맑은 고딕" w:hAnsi="맑은 고딕"/>
          <w:sz w:val="19"/>
        </w:rPr>
        <w:t xml:space="preserve"> 김수석 책임건설사업관리기술인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관련 법령 및 국가건설기준 (KDS/KCS) 자동 연동 내역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[KDS 41 10 00] 건축구조설계기준 일반사항 및 단열/피난</w:t>
      </w:r>
      <w:r>
        <w:rPr>
          <w:rFonts w:ascii="맑은 고딕" w:hAnsi="맑은 고딕"/>
          <w:sz w:val="19"/>
        </w:rPr>
        <w:t xml:space="preserve"> (설계기준 (KDS)): ### 3.5 건축물 외벽 및 지붕 열관류율(U-value) 기준</w:t>
      </w:r>
    </w:p>
    <w:p>
      <w:r>
        <w:rPr>
          <w:rFonts w:ascii="맑은 고딕" w:hAnsi="맑은 고딕"/>
          <w:sz w:val="19"/>
        </w:rPr>
        <w:t>중부 1·2지역 공동주택 및 일반건축물의 외기에 직접 면하는 거실 외벽의 열관류율은 0.170 W/m²·K 이하(단열재 두께 기준 압출법보온판 155mm 이상 또는 등가 열저항 확보)를 만족하여야 한다.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[건축법 제49조] 건축물의 피난시설 및 용도제한 등</w:t>
      </w:r>
      <w:r>
        <w:rPr>
          <w:rFonts w:ascii="맑은 고딕" w:hAnsi="맑은 고딕"/>
          <w:sz w:val="19"/>
        </w:rPr>
        <w:t xml:space="preserve"> (국가법령): [제53조 (건축물의 배수설비 및 지하층 설치 기준)]</w:t>
      </w:r>
    </w:p>
    <w:p>
      <w:r>
        <w:rPr>
          <w:rFonts w:ascii="맑은 고딕" w:hAnsi="맑은 고딕"/>
          <w:sz w:val="19"/>
        </w:rPr>
        <w:t>① 건축물에는 지표수 및 오수를 유효하게 배출하기 위한 배수설비를 갖추어야 한다.</w:t>
      </w:r>
    </w:p>
    <w:p>
      <w:r>
        <w:rPr>
          <w:rFonts w:ascii="맑은 고딕" w:hAnsi="맑은 고딕"/>
          <w:sz w:val="19"/>
        </w:rPr>
        <w:t>② 건축물의 지하층에는 방수, 환기, 배수 및 채광을 위한 설비를 대통령령으로 정하는 기준에 적합하도록 설치하여야 한다.</w:t>
      </w:r>
    </w:p>
    <w:p>
      <w:r>
        <w:rPr>
          <w:rFonts w:ascii="맑은 고딕" w:hAnsi="맑은 고딕"/>
          <w:sz w:val="19"/>
        </w:rPr>
        <w:t>[제49조 (건축물의 피난시설 및 용도제한 등)]</w:t>
      </w:r>
    </w:p>
    <w:p>
      <w:r>
        <w:rPr>
          <w:rFonts w:ascii="맑은 고딕" w:hAnsi="맑은 고딕"/>
          <w:sz w:val="19"/>
        </w:rPr>
        <w:t>① 대통령령으로 정하는 용도 및 규모의 건축물과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[KEC 232] 한국전기설비규정 - 배선설비 및 전압강하 기준</w:t>
      </w:r>
      <w:r>
        <w:rPr>
          <w:rFonts w:ascii="맑은 고딕" w:hAnsi="맑은 고딕"/>
          <w:sz w:val="19"/>
        </w:rPr>
        <w:t xml:space="preserve"> (전기기술기준 (KEC)): ### 232.3.9 저압배선 설비의 전압강하율 기준</w:t>
      </w:r>
    </w:p>
    <w:p>
      <w:r>
        <w:rPr>
          <w:rFonts w:ascii="맑은 고딕" w:hAnsi="맑은 고딕"/>
          <w:sz w:val="19"/>
        </w:rPr>
        <w:t>저압 수전 수용가의 경우 인입구로부터 최종 부하까지의 전압강하는 다음 값을 초과하지 않아야 한다.</w:t>
      </w:r>
    </w:p>
    <w:p>
      <w:pPr>
        <w:pStyle w:val="ListNumber"/>
      </w:pPr>
      <w:r>
        <w:rPr>
          <w:rFonts w:ascii="맑은 고딕" w:hAnsi="맑은 고딕"/>
          <w:sz w:val="19"/>
        </w:rPr>
        <w:t>조명 부하: 전압강하율 &lt;= 3.0%</w:t>
      </w:r>
    </w:p>
    <w:p>
      <w:pPr>
        <w:pStyle w:val="ListNumber"/>
      </w:pPr>
      <w:r>
        <w:rPr>
          <w:rFonts w:ascii="맑은 고딕" w:hAnsi="맑은 고딕"/>
          <w:sz w:val="19"/>
        </w:rPr>
        <w:t>기타(동력/전열) 부하: 전압강하율 &lt;= 5.0%</w:t>
      </w:r>
    </w:p>
    <w:p>
      <w:pPr>
        <w:pStyle w:val="ListNumber"/>
      </w:pPr>
      <w:r>
        <w:rPr>
          <w:rFonts w:ascii="맑은 고딕" w:hAnsi="맑은 고딕"/>
          <w:sz w:val="19"/>
        </w:rPr>
        <w:t>변압기 용량 산정 시 수용률 및 부하율을 고려하여 안전율 1.15~1.25배를 확보하여야 한다.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3자 교차 검토 종합 대조표 (국가법령 - KCSC기준 - 발주처시방 - 시공사제출값)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검토 항목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국가법령 및 KDS/KCS 기준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발주처 시방/요구조건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시공사 제출 설계치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판정 결과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비고 / 감리 조치사항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구조물 안전율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KDS 21 30 00 (Fs &gt;= 1.25)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특기시방 기준 만족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설계 안전율 Fs &gt;= 1.25 만족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기준 충족 확인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강재 품질 및 밀시트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KCS 14 31 25 (강구조 가설물 시방)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KS 인증품 사용 및 공장 밀시트(Mill Sheet) 제출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적용 강재: KS D 3503 SS275 (밀시트 첨부)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공장 검사 성적서 일치 확인 완료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안전관리계획서 수립 대상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건설기술 진흥법 제62조 (10m 이상 굴착)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착공 전 안전관리계획서 제출 및 감리원 승인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안전관리계획서 및 비상연락망 수립 완료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인허가청 승인 절차 병행 확인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인접 지표 및 경사계 계측 주기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KDS 21 30 00 / 발주처 지시공문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계측 주기 강화 (주 2회)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계측계획서 상 주 2회 계측 및 일일 보고 체계 수립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**PASS (적합)**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발주처 강화 지시사항 정상 반영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5. 종합 감리 검토의견 및 시공사 조치 지시사항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총괄 판정:</w:t>
      </w:r>
      <w:r>
        <w:rPr>
          <w:rFonts w:ascii="맑은 고딕" w:hAnsi="맑은 고딕"/>
          <w:sz w:val="19"/>
        </w:rPr>
        <w:t xml:space="preserve"> 본 시공계획서 및 구조계산서 검토 결과, 건설기술 진흥법에 따른 일반 안전관리 항목은 적정하나, </w:t>
      </w:r>
      <w:r>
        <w:rPr>
          <w:rFonts w:ascii="맑은 고딕" w:hAnsi="맑은 고딕"/>
          <w:b/>
          <w:sz w:val="19"/>
        </w:rPr>
        <w:t>KDS 21 30 00 기준 대비 가설 버팀보의 계산 안전율($F_s = 1.07$)이 법적 최소 요구치($1.25$)에 미달</w:t>
      </w:r>
      <w:r>
        <w:rPr>
          <w:rFonts w:ascii="맑은 고딕" w:hAnsi="맑은 고딕"/>
          <w:sz w:val="19"/>
        </w:rPr>
        <w:t>함.</w:t>
      </w:r>
    </w:p>
    <w:p>
      <w:pPr>
        <w:pStyle w:val="ListNumber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시공사 조치 지시사항: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1단 버팀보 규격을 기존 H-300x300x10x15에서 </w:t>
      </w:r>
      <w:r>
        <w:rPr>
          <w:rFonts w:ascii="맑은 고딕" w:hAnsi="맑은 고딕"/>
          <w:b/>
          <w:sz w:val="19"/>
        </w:rPr>
        <w:t>H-350x350x12x19 계열로 단면 상향</w:t>
      </w:r>
      <w:r>
        <w:rPr>
          <w:rFonts w:ascii="맑은 고딕" w:hAnsi="맑은 고딕"/>
          <w:sz w:val="19"/>
        </w:rPr>
        <w:t>하거나 수평 지지간격을 축소할 것.</w:t>
      </w:r>
    </w:p>
    <w:p>
      <w:pPr>
        <w:pStyle w:val="ListBullet"/>
      </w:pPr>
      <w:r>
        <w:rPr>
          <w:rFonts w:ascii="맑은 고딕" w:hAnsi="맑은 고딕"/>
          <w:sz w:val="19"/>
        </w:rPr>
        <w:t xml:space="preserve">수정된 단면력 및 안전율을 반영한 구조계산서 재산정본을 첨부하여 시공계획서를 </w:t>
      </w:r>
      <w:r>
        <w:rPr>
          <w:rFonts w:ascii="맑은 고딕" w:hAnsi="맑은 고딕"/>
          <w:b/>
          <w:sz w:val="19"/>
        </w:rPr>
        <w:t>보완 재제출</w:t>
      </w:r>
      <w:r>
        <w:rPr>
          <w:rFonts w:ascii="맑은 고딕" w:hAnsi="맑은 고딕"/>
          <w:sz w:val="19"/>
        </w:rPr>
        <w:t>할 것.</w:t>
      </w:r>
    </w:p>
    <w:p>
      <w:pPr>
        <w:pStyle w:val="ListBullet"/>
      </w:pPr>
      <w:r>
        <w:rPr>
          <w:rFonts w:ascii="맑은 고딕" w:hAnsi="맑은 고딕"/>
          <w:sz w:val="19"/>
        </w:rPr>
        <w:t>감리단의 최종 승인 전 해당 구간에 대한 선행 굴착을 엄격히 금지함.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