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강남 복합빌딩 신축공사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토목 / 가설구조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건설사업관리기술인 (토목/구조)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대상:</w:t>
      </w:r>
      <w:r>
        <w:rPr>
          <w:rFonts w:ascii="맑은 고딕" w:hAnsi="맑은 고딕"/>
          <w:sz w:val="19"/>
        </w:rPr>
        <w:t xml:space="preserve"> 가설 흙막이 지보공 1단 버팀보(H-300x300x10x15) 단면 적정성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근거 기준:</w:t>
      </w:r>
      <w:r>
        <w:rPr>
          <w:rFonts w:ascii="맑은 고딕" w:hAnsi="맑은 고딕"/>
          <w:sz w:val="19"/>
        </w:rPr>
        <w:t xml:space="preserve"> 건설기술 진흥법 제62조 및 KDS 21 30 00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3자 교차 검토 종합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국가법령 및 KDS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시방조건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제출값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/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버팀보 안전율(Fs)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(Fs &gt;= 1.25)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특기시방 4.1조 (Fs &gt;= 1.25)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Fs = 1.07 (작용 205.4 / 허용 220.0)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**FAIL (부적합)**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단면 증대(H-350계열) 또는 설치간격 축소 필요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강재 품질 규격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14 31 25 (SS275/SM355)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KS 정품 및 밀시트 제출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KS D 3503 SS275 제출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공장 성적서 일치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 대상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건진법 제62조 (10m 이상 굴착)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굴착깊이 12.5m 승인필요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초안 제출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인허가청 승인 절차 진행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세부 수치 검산 내역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연산 공식:</w:t>
      </w:r>
      <w:r>
        <w:rPr>
          <w:rFonts w:ascii="맑은 고딕" w:hAnsi="맑은 고딕"/>
          <w:sz w:val="19"/>
        </w:rPr>
        <w:t xml:space="preserve"> $F_s = \frac{\sigma_{allowable}}{\sigma_{design}} = \frac{220.0}{205.4} = 1.071$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요구 안전율:</w:t>
      </w:r>
      <w:r>
        <w:rPr>
          <w:rFonts w:ascii="맑은 고딕" w:hAnsi="맑은 고딕"/>
          <w:sz w:val="19"/>
        </w:rPr>
        <w:t xml:space="preserve"> $1.25$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판정:</w:t>
      </w:r>
      <w:r>
        <w:rPr>
          <w:rFonts w:ascii="맑은 고딕" w:hAnsi="맑은 고딕"/>
          <w:sz w:val="19"/>
        </w:rPr>
        <w:t xml:space="preserve"> 기준 안전율 대비 -14.3% 부족으로 </w:t>
      </w:r>
      <w:r>
        <w:rPr>
          <w:rFonts w:ascii="맑은 고딕" w:hAnsi="맑은 고딕"/>
          <w:b/>
          <w:sz w:val="19"/>
        </w:rPr>
        <w:t>부적합(FAIL)</w:t>
      </w:r>
      <w:r>
        <w:rPr>
          <w:rFonts w:ascii="맑은 고딕" w:hAnsi="맑은 고딕"/>
          <w:sz w:val="19"/>
        </w:rPr>
        <w:t xml:space="preserve"> 판정.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종합 감리의견 및 조치 지시사항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본 가설 흙막이 1단 버팀보는 시공 중 토압 증가 시 좌굴 위험이 상존하므로 </w:t>
      </w:r>
      <w:r>
        <w:rPr>
          <w:rFonts w:ascii="맑은 고딕" w:hAnsi="맑은 고딕"/>
          <w:b/>
          <w:sz w:val="19"/>
        </w:rPr>
        <w:t>[반려 및 보완]</w:t>
      </w:r>
      <w:r>
        <w:rPr>
          <w:rFonts w:ascii="맑은 고딕" w:hAnsi="맑은 고딕"/>
          <w:sz w:val="19"/>
        </w:rPr>
        <w:t xml:space="preserve"> 조치함.</w:t>
      </w:r>
    </w:p>
    <w:p>
      <w:pPr>
        <w:pStyle w:val="ListBullet"/>
      </w:pPr>
      <w:r>
        <w:rPr>
          <w:rFonts w:ascii="맑은 고딕" w:hAnsi="맑은 고딕"/>
          <w:sz w:val="19"/>
        </w:rPr>
        <w:t>시공사는 버팀보 부재 규격을 상향(H-350x350x12x19 등)하거나 수평 지지간격을 재조정하여 구조계산서를 재작성 후 제출할 것.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