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마곡 R&amp;D센터 신축공사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전기 / 건축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이수석 건설사업관리기술인 (전기/건축)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대상:</w:t>
      </w:r>
      <w:r>
        <w:rPr>
          <w:rFonts w:ascii="맑은 고딕" w:hAnsi="맑은 고딕"/>
          <w:sz w:val="19"/>
        </w:rPr>
        <w:t xml:space="preserve"> 지하주차장 동력 배선 간선 전압강하율 및 외벽 단열 성능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근거 기준:</w:t>
      </w:r>
      <w:r>
        <w:rPr>
          <w:rFonts w:ascii="맑은 고딕" w:hAnsi="맑은 고딕"/>
          <w:sz w:val="19"/>
        </w:rPr>
        <w:t xml:space="preserve"> 전기사업법 제67조 및 KEC 232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3자 교차 검토 종합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기준 및 KEC 규정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요구조건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설계치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/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간선 전압강하율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KEC 232 (허용강하율 &lt;= 3.0%)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조명/동력 공통 2.5% 이하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e = 1.19% (CV 50sq, 85m)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허용치(3.0%) 대비 충분한 여유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외벽 열관류율(U)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41 10 00 (U &lt;= 0.170 W/m²K)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특기시방 0.160 이하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U = 0.155 (압출보온판 160mm)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단열성능 만족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세부 수치 검산 내역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3상 4선식 전압강하율 산정식:</w:t>
      </w:r>
      <w:r>
        <w:rPr>
          <w:rFonts w:ascii="맑은 고딕" w:hAnsi="맑은 고딕"/>
          <w:sz w:val="19"/>
        </w:rPr>
      </w:r>
    </w:p>
    <w:p>
      <w:r>
        <w:rPr>
          <w:rFonts w:ascii="맑은 고딕" w:hAnsi="맑은 고딕"/>
          <w:sz w:val="19"/>
        </w:rPr>
        <w:t>$$e(\%) = \frac{17.8 \times L \times I}{1000 \times A \times V} \times 100 = \frac{17.8 \times 85 \times 150}{1000 \times 50 \times 380} \times 100 = 1.194\%$$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판정:</w:t>
      </w:r>
      <w:r>
        <w:rPr>
          <w:rFonts w:ascii="맑은 고딕" w:hAnsi="맑은 고딕"/>
          <w:sz w:val="19"/>
        </w:rPr>
        <w:t xml:space="preserve"> 규격 기준 $3.0\%$ 이하 만족 -&gt; </w:t>
      </w:r>
      <w:r>
        <w:rPr>
          <w:rFonts w:ascii="맑은 고딕" w:hAnsi="맑은 고딕"/>
          <w:b/>
          <w:sz w:val="19"/>
        </w:rPr>
        <w:t>PASS (적합)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종합 감리의견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전기 간선 굵기 산정 및 단열재 열관류율 계산 결과 기준치를 충분히 만족하므로 </w:t>
      </w:r>
      <w:r>
        <w:rPr>
          <w:rFonts w:ascii="맑은 고딕" w:hAnsi="맑은 고딕"/>
          <w:b/>
          <w:sz w:val="19"/>
        </w:rPr>
        <w:t>[원안 승인]</w:t>
      </w:r>
      <w:r>
        <w:rPr>
          <w:rFonts w:ascii="맑은 고딕" w:hAnsi="맑은 고딕"/>
          <w:sz w:val="19"/>
        </w:rPr>
        <w:t>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