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삼우씨엠 신축공사 건축 시공계획서 및 단열계획</w:t>
      </w:r>
    </w:p>
    <w:p>
      <w:r>
        <w:t>1. 외벽 단열재 사양: 준불연 압출법보온판 160mm (열전도율 0.028 W/m·K)</w:t>
      </w:r>
    </w:p>
    <w:p>
      <w:r>
        <w:t>2. 열관류율 계산값: 0.155 W/m²·K (중부2지역 기준 0.170 이하 충족)</w:t>
      </w:r>
    </w:p>
    <w:p>
      <w:r>
        <w:t>3. 피난계단 보행거리: 주계단 직통거리 38.5m (법적 50m 이내 만족)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