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종합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사업명: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대상 도서:</w:t>
      </w:r>
      <w:r>
        <w:rPr>
          <w:rFonts w:ascii="맑은 고딕" w:hAnsi="맑은 고딕"/>
          <w:sz w:val="19"/>
        </w:rPr>
        <w:t xml:space="preserve"> sample_과업지시서_특기시방.hwpx (첨부: sample_가설흙막이_구조계산서.xlsx, 특기시방서)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시공사:</w:t>
      </w:r>
      <w:r>
        <w:rPr>
          <w:rFonts w:ascii="맑은 고딕" w:hAnsi="맑은 고딕"/>
          <w:sz w:val="19"/>
        </w:rPr>
        <w:t xml:space="preserve"> (주)대우건설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일자:</w:t>
      </w:r>
      <w:r>
        <w:rPr>
          <w:rFonts w:ascii="맑은 고딕" w:hAnsi="맑은 고딕"/>
          <w:sz w:val="19"/>
        </w:rPr>
        <w:t xml:space="preserve"> 종합_CM기술검토의견서.docx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관련 법령 및 국가건설기준 (KDS/KCS) 자동 연동 내역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[KDS 21 30 00] 가설 흙막이 설계기준</w:t>
      </w:r>
      <w:r>
        <w:rPr>
          <w:rFonts w:ascii="맑은 고딕" w:hAnsi="맑은 고딕"/>
          <w:sz w:val="19"/>
        </w:rPr>
        <w:t xml:space="preserve"> (설계기준 (KDS)): ### 4.2 가설 흙막이 부재 및 안정성 안전율 기준</w:t>
      </w:r>
    </w:p>
    <w:p>
      <w:r>
        <w:rPr>
          <w:rFonts w:ascii="맑은 고딕" w:hAnsi="맑은 고딕"/>
          <w:sz w:val="19"/>
        </w:rPr>
        <w:t>가설 흙막이벽 및 지지구조체의 설계 시 다음 각 항의 안전율(Safety Factor) 이상을 만족하여야 한다.</w:t>
      </w:r>
    </w:p>
    <w:p>
      <w:pPr>
        <w:pStyle w:val="ListNumber"/>
      </w:pPr>
      <w:r>
        <w:rPr>
          <w:rFonts w:ascii="맑은 고딕" w:hAnsi="맑은 고딕"/>
          <w:sz w:val="19"/>
        </w:rPr>
        <w:t>흙막이벽(엄지말뚝/H-Pile) 휨응력 안전율: Fs &gt;= 1.25 (허용휨응력 / 작용휨응력 &gt;= 1.25)</w:t>
      </w:r>
    </w:p>
    <w:p>
      <w:pPr>
        <w:pStyle w:val="ListNumber"/>
      </w:pPr>
      <w:r>
        <w:rPr>
          <w:rFonts w:ascii="맑은 고딕" w:hAnsi="맑은 고딕"/>
          <w:sz w:val="19"/>
        </w:rPr>
        <w:t>버팀보(Strut) 축력 및 좌굴 안전율: Fs &gt;= 1.25 (허용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[건설기술 진흥법 제62조] 안전관리계획의 수립 및 이행</w:t>
      </w:r>
      <w:r>
        <w:rPr>
          <w:rFonts w:ascii="맑은 고딕" w:hAnsi="맑은 고딕"/>
          <w:sz w:val="19"/>
        </w:rPr>
        <w:t xml:space="preserve"> (국가법령): [제62조 (안전관리계획의 수립 및 이행)]</w:t>
      </w:r>
    </w:p>
    <w:p>
      <w:r>
        <w:rPr>
          <w:rFonts w:ascii="맑은 고딕" w:hAnsi="맑은 고딕"/>
          <w:sz w:val="19"/>
        </w:rPr>
        <w:t>① 건설사업자와 주택건설등록업자는 대통령령으로 정하는 건설공사를 시행하는 경우 착공 전에 안전관리계획을 수립하고, 발주청 또는 인ㆍ허가기관의 장에게 제출하여 승인을 받아야 한다.</w:t>
      </w:r>
    </w:p>
    <w:p>
      <w:r>
        <w:rPr>
          <w:rFonts w:ascii="맑은 고딕" w:hAnsi="맑은 고딕"/>
          <w:sz w:val="19"/>
        </w:rPr>
        <w:t>② 안전관리계획을 수립하여야 하는 대상 건설공사의 범위는 지하 10미터 이상 굴착공사, 10층 이상 16층 미만 건축물 공사, 가설구조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[KDS 41 10 00] 건축구조설계기준 일반사항 및 단열/피난</w:t>
      </w:r>
      <w:r>
        <w:rPr>
          <w:rFonts w:ascii="맑은 고딕" w:hAnsi="맑은 고딕"/>
          <w:sz w:val="19"/>
        </w:rPr>
        <w:t xml:space="preserve"> (설계기준 (KDS)): ### 3.5 건축물 외벽 및 지붕 열관류율(U-value) 기준</w:t>
      </w:r>
    </w:p>
    <w:p>
      <w:r>
        <w:rPr>
          <w:rFonts w:ascii="맑은 고딕" w:hAnsi="맑은 고딕"/>
          <w:sz w:val="19"/>
        </w:rPr>
        <w:t>중부 1·2지역 공동주택 및 일반건축물의 외기에 직접 면하는 거실 외벽의 열관류율은 0.170 W/m²·K 이하(단열재 두께 기준 압출법보온판 155mm 이상 또는 등가 열저항 확보)를 만족하여야 한다.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3자 교차 검토 종합 대조표 (국가법령 - KCSC기준 - 발주처시방 - 시공사제출값)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국가법령 및 KDS/KCS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시방/요구조건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설계치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/ 감리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흙막이 버팀보 안전율(Fs)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(Fs &gt;= 1.25)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특기시방 4.1조: KS인증 강재 및 요구 안전율 Fs &gt;= 1.25 준수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1단 버팀보 계산서 상 Fs = 1.0711 (작용 205.4 / 허용 220.0 MPa)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**FAIL (부적합/보완필요)**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부재 단면 상향(H-350 계열) 또는 지지간격 축소 보완 필요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강재 품질 및 밀시트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14 31 25 (강구조 가설물 시방)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KS 인증품 사용 및 공장 밀시트(Mill Sheet) 제출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적용 강재: H-300X300X10X15, H-350X350X12X19 (밀시트 첨부)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공장 검사 성적서 일치 확인 완료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수립 대상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건설기술 진흥법 제62조 (10m 이상 굴착)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착공 전 안전관리계획서 제출 및 감리원 승인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및 비상연락망 수립 완료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인허가청 승인 절차 병행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인접 지표 및 경사계 계측 주기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/ 발주처 지시공문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 주기 강화 (주 2회)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계측계획서 상 주 2회 계측 및 일일 보고 체계 수립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발주처 강화 지시사항 정상 반영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공학적 세부 수치 검산 내역 (Deterministic Python Verifier)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부재:</w:t>
      </w:r>
      <w:r>
        <w:rPr>
          <w:rFonts w:ascii="맑은 고딕" w:hAnsi="맑은 고딕"/>
          <w:sz w:val="19"/>
        </w:rPr>
        <w:t xml:space="preserve"> 가설 흙막이 1단 버팀보 (H-300x300)</w:t>
      </w:r>
    </w:p>
    <w:p>
      <w:pPr>
        <w:pStyle w:val="ListBullet"/>
      </w:pPr>
      <w:r>
        <w:rPr>
          <w:rFonts w:ascii="맑은 고딕" w:hAnsi="맑은 고딕"/>
          <w:sz w:val="19"/>
        </w:rPr>
        <w:t>연산 공식: $allowable_val / design_val$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계산 안전율: </w:t>
      </w:r>
      <w:r>
        <w:rPr>
          <w:rFonts w:ascii="맑은 고딕" w:hAnsi="맑은 고딕"/>
          <w:b/>
          <w:sz w:val="19"/>
        </w:rPr>
        <w:t>1.0711</w:t>
      </w:r>
      <w:r>
        <w:rPr>
          <w:rFonts w:ascii="맑은 고딕" w:hAnsi="맑은 고딕"/>
          <w:sz w:val="19"/>
        </w:rPr>
        <w:t xml:space="preserve"> (요구 기준치: 1.25, 여유율: -14.31%)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판정 결과: </w:t>
      </w:r>
      <w:r>
        <w:rPr>
          <w:rFonts w:ascii="맑은 고딕" w:hAnsi="맑은 고딕"/>
          <w:b/>
          <w:sz w:val="19"/>
        </w:rPr>
        <w:t>FAIL (부적합/보완필요)</w:t>
      </w:r>
      <w:r>
        <w:rPr>
          <w:rFonts w:ascii="맑은 고딕" w:hAnsi="맑은 고딕"/>
          <w:sz w:val="19"/>
        </w:rPr>
        <w:t xml:space="preserve"> (설계 기준 불만족 (계산값: 1.071-, 요구치: 1.25-), 부재/용량 재검토 지시 필요)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종합 감리 검토의견 및 시공사 조치 지시사항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판정:</w:t>
      </w:r>
      <w:r>
        <w:rPr>
          <w:rFonts w:ascii="맑은 고딕" w:hAnsi="맑은 고딕"/>
          <w:sz w:val="19"/>
        </w:rPr>
        <w:t xml:space="preserve"> 본 시공계획서 및 구조계산서 검토 결과, 건설기술 진흥법에 따른 일반 안전관리 항목은 적정하나, </w:t>
      </w:r>
      <w:r>
        <w:rPr>
          <w:rFonts w:ascii="맑은 고딕" w:hAnsi="맑은 고딕"/>
          <w:b/>
          <w:sz w:val="19"/>
        </w:rPr>
        <w:t>KDS 21 30 00 기준 대비 가설 버팀보의 계산 안전율($F_s = 1.07$)이 법적 최소 요구치($1.25$)에 미달</w:t>
      </w:r>
      <w:r>
        <w:rPr>
          <w:rFonts w:ascii="맑은 고딕" w:hAnsi="맑은 고딕"/>
          <w:sz w:val="19"/>
        </w:rPr>
        <w:t>함.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 조치 지시사항: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1단 버팀보 규격을 기존 H-300x300x10x15에서 </w:t>
      </w:r>
      <w:r>
        <w:rPr>
          <w:rFonts w:ascii="맑은 고딕" w:hAnsi="맑은 고딕"/>
          <w:b/>
          <w:sz w:val="19"/>
        </w:rPr>
        <w:t>H-350x350x12x19 계열로 단면 상향</w:t>
      </w:r>
      <w:r>
        <w:rPr>
          <w:rFonts w:ascii="맑은 고딕" w:hAnsi="맑은 고딕"/>
          <w:sz w:val="19"/>
        </w:rPr>
        <w:t>하거나 수평 지지간격을 축소할 것.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수정된 단면력 및 안전율을 반영한 구조계산서 재산정본을 첨부하여 시공계획서를 </w:t>
      </w:r>
      <w:r>
        <w:rPr>
          <w:rFonts w:ascii="맑은 고딕" w:hAnsi="맑은 고딕"/>
          <w:b/>
          <w:sz w:val="19"/>
        </w:rPr>
        <w:t>보완 재제출</w:t>
      </w:r>
      <w:r>
        <w:rPr>
          <w:rFonts w:ascii="맑은 고딕" w:hAnsi="맑은 고딕"/>
          <w:sz w:val="19"/>
        </w:rPr>
        <w:t>할 것.</w:t>
      </w:r>
    </w:p>
    <w:p>
      <w:pPr>
        <w:pStyle w:val="ListBullet"/>
      </w:pPr>
      <w:r>
        <w:rPr>
          <w:rFonts w:ascii="맑은 고딕" w:hAnsi="맑은 고딕"/>
          <w:sz w:val="19"/>
        </w:rPr>
        <w:t>감리단의 최종 승인 전 해당 구간에 대한 선행 굴착을 엄격히 금지함.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