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9B2C2C"/>
          <w:sz w:val="36"/>
        </w:rPr>
        <w:t>부적합 시정지시서 (NCR)</w:t>
      </w:r>
    </w:p>
    <w:p>
      <w:pPr>
        <w:jc w:val="center"/>
      </w:pPr>
      <w:r>
        <w:rPr>
          <w:rFonts w:ascii="맑은 고딕" w:hAnsi="맑은 고딕"/>
          <w:b/>
          <w:color w:val="718096"/>
          <w:sz w:val="22"/>
        </w:rPr>
        <w:t>주식회사 삼우씨엠건축사사무소 | 삼우씨엠 신축공사 CM현장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SWCM-NCR-20260829-01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08월 29일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부적합 유형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시공품질 불량 (발생위치: 지하 2층 램프 구간 버팀보 1열)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시정기한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09월 05일까지까지</w:t>
            </w:r>
          </w:p>
        </w:tc>
      </w:tr>
    </w:tbl>
    <w:p/>
    <w:p>
      <w:r>
        <w:rPr>
          <w:sz w:val="22"/>
        </w:rPr>
        <w:t>1. 부적합 및 지적 사항</w:t>
        <w:br/>
        <w:t xml:space="preserve">   1단 버팀보 볼트 조임 토크치 미달 및 일부 접합부 유격 발생</w:t>
      </w:r>
    </w:p>
    <w:p>
      <w:r>
        <w:rPr>
          <w:sz w:val="22"/>
        </w:rPr>
        <w:t>2. 현장 증빙 및 결함 상태</w:t>
        <w:br/>
        <w:t xml:space="preserve">   - 증빙: 현장 토크렌치 실측 사진 첨부</w:t>
        <w:br/>
        <w:t xml:space="preserve">   - 기준 위반: 설계도서 및 KCS 품질관리기준 미달</w:t>
      </w:r>
    </w:p>
    <w:p>
      <w:r>
        <w:rPr>
          <w:sz w:val="22"/>
        </w:rPr>
        <w:t>3. 감리단 시정 및 조치 지시사항</w:t>
        <w:br/>
        <w:t xml:space="preserve">   가. 지적 구간 후속 작업 즉시 중단 및 안전조치 시행</w:t>
        <w:br/>
        <w:t xml:space="preserve">   나. 원인 분석 및 보강/재시공 계획서 제출</w:t>
        <w:br/>
        <w:t xml:space="preserve">   다. 조치 완료 후 감리원 입회 재검측 득할 것</w:t>
      </w:r>
    </w:p>
    <w:p/>
    <w:p>
      <w:pPr>
        <w:jc w:val="center"/>
      </w:pPr>
      <w:r>
        <w:rPr>
          <w:rFonts w:ascii="맑은 고딕" w:hAnsi="맑은 고딕"/>
          <w:b/>
          <w:color w:val="9B2C2C"/>
          <w:sz w:val="24"/>
        </w:rPr>
        <w:t>주식회사 삼우씨엠건축사사무소</w:t>
        <w:br/>
        <w:t>책임건설사업관리기술인 김수석 책임건설사업관리기술인 (직인생략)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