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65D"/>
          <w:sz w:val="48"/>
        </w:rPr>
        <w:t>ENTERPRISE GO ENGINEERING CURRICULUM</w:t>
      </w:r>
    </w:p>
    <w:p>
      <w:pPr>
        <w:keepNext/>
        <w:spacing w:before="360" w:after="240"/>
      </w:pPr>
      <w:r>
        <w:rPr>
          <w:rFonts w:ascii="Calibri" w:hAnsi="Calibri"/>
          <w:b/>
          <w:color w:val="1A365D"/>
          <w:sz w:val="36"/>
        </w:rPr>
        <w:t>Module 2: Concurrency Engineering &amp; The GMP Runtime Scheduler</w:t>
      </w:r>
    </w:p>
    <w:p>
      <w:pPr>
        <w:keepNext/>
        <w:spacing w:before="280" w:after="120"/>
      </w:pPr>
      <w:r>
        <w:rPr>
          <w:rFonts w:ascii="Calibri" w:hAnsi="Calibri"/>
          <w:b/>
          <w:color w:val="2C5282"/>
          <w:sz w:val="28"/>
        </w:rPr>
        <w:t>1. Mechanics of the GMP Model</w:t>
      </w:r>
    </w:p>
    <w:p>
      <w:pPr>
        <w:spacing w:after="160" w:line="276" w:lineRule="auto"/>
      </w:pPr>
      <w:r>
        <w:rPr>
          <w:rFonts w:ascii="Calibri" w:hAnsi="Calibri"/>
          <w:sz w:val="22"/>
        </w:rPr>
        <w:t>Go avoids standard 1:1 OS thread mapping by utilizing a highly scalable cooperative M:N scheduler framework known as the GMP Model. This framework abstracts OS threads into lightweight, decoupled execution paths.</w:t>
      </w:r>
    </w:p>
    <w:p>
      <w:pPr>
        <w:spacing w:after="160" w:line="276" w:lineRule="auto"/>
      </w:pPr>
      <w:r>
        <w:rPr>
          <w:rFonts w:ascii="Calibri" w:hAnsi="Calibri"/>
          <w:sz w:val="22"/>
        </w:rPr>
        <w:t>• G (Goroutine): Represents the logical execution thread. Contains a dynamic expandable stack starting at 2KB.</w:t>
        <w:br/>
        <w:t>• M (Machine): Represents a real physical OS thread managed directly by the kernel scheduler.</w:t>
        <w:br/>
        <w:t>• P (Processor): Represents a logical processing resource context required to execute Go code. Defaults to runtime.GOMAXPROCS.</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none"/>
              <w:left w:val="single" w:sz="24" w:space="0" w:color="1A365D"/>
              <w:bottom w:val="none"/>
              <w:right w:val="none"/>
            </w:tcBorders>
          </w:tcPr>
          <w:p>
            <w:pPr>
              <w:spacing w:before="40" w:after="40"/>
            </w:pPr>
            <w:r>
              <w:rPr>
                <w:rFonts w:ascii="Calibri" w:hAnsi="Calibri"/>
                <w:i/>
                <w:color w:val="2D3748"/>
                <w:sz w:val="21"/>
              </w:rPr>
              <w:t>Production Mechanics: Work-Stealing Algorithm</w:t>
              <w:br/>
              <w:t>If a logical processor P runs out of runnable Goroutines in its local queue, it will automatically attempt to steal half the execution load from another processor's run queue, or retrieve elements from the global shared run queue. This ensures zero CPU core starvation across distributed nodes.</w:t>
            </w:r>
          </w:p>
        </w:tc>
      </w:tr>
    </w:tbl>
    <w:p/>
    <w:p>
      <w:pPr>
        <w:keepNext/>
        <w:spacing w:before="280" w:after="120"/>
      </w:pPr>
      <w:r>
        <w:rPr>
          <w:rFonts w:ascii="Calibri" w:hAnsi="Calibri"/>
          <w:b/>
          <w:color w:val="2C5282"/>
          <w:sz w:val="28"/>
        </w:rPr>
        <w:t>2. Production Patterns: Worker Pools &amp; Context Tracking</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200" w:type="dxa"/>
              <w:right w:w="200" w:type="dxa"/>
            </w:tcMar>
            <w:tcBorders>
              <w:top w:val="single" w:sz="4" w:space="0" w:color="D1D5DB"/>
              <w:left w:val="single" w:sz="4" w:space="0" w:color="D1D5DB"/>
              <w:bottom w:val="single" w:sz="4" w:space="0" w:color="D1D5DB"/>
              <w:right w:val="single" w:sz="4" w:space="0" w:color="D1D5DB"/>
            </w:tcBorders>
          </w:tcPr>
          <w:p>
            <w:pPr>
              <w:spacing w:before="0" w:after="0"/>
            </w:pPr>
            <w:r>
              <w:rPr>
                <w:rFonts w:ascii="Consolas" w:hAnsi="Consolas"/>
                <w:color w:val="D4D4D4"/>
                <w:sz w:val="19"/>
              </w:rPr>
              <w:t>package main</w:t>
              <w:br/>
              <w:br/>
              <w:t>import (</w:t>
              <w:br/>
              <w:t xml:space="preserve">    "context"</w:t>
              <w:br/>
              <w:t xml:space="preserve">    "fmt"</w:t>
              <w:br/>
              <w:t xml:space="preserve">    "sync"</w:t>
              <w:br/>
              <w:t xml:space="preserve">    "time"</w:t>
              <w:br/>
              <w:t>)</w:t>
              <w:br/>
              <w:br/>
              <w:t>func WorkerPoolEngine(ctx context.Context, jobs &lt;-chan int, results chan&lt;- int, wg *sync.WaitGroup) {</w:t>
              <w:br/>
              <w:t xml:space="preserve">    defer wg.Done()</w:t>
              <w:br/>
              <w:t xml:space="preserve">    for {</w:t>
              <w:br/>
              <w:t xml:space="preserve">        select {</w:t>
              <w:br/>
              <w:t xml:space="preserve">        case &lt;-ctx.Done():</w:t>
              <w:br/>
              <w:t xml:space="preserve">            return</w:t>
              <w:br/>
              <w:t xml:space="preserve">        case job, ok := &lt;-jobs:</w:t>
              <w:br/>
              <w:t xml:space="preserve">            if !ok {</w:t>
              <w:br/>
              <w:t xml:space="preserve">                return</w:t>
              <w:br/>
              <w:t xml:space="preserve">            }</w:t>
              <w:br/>
              <w:t xml:space="preserve">            results &lt;- job * 2</w:t>
              <w:br/>
              <w:t xml:space="preserve">        }</w:t>
              <w:br/>
              <w:t xml:space="preserve">    }</w:t>
              <w:br/>
              <w:t>}</w:t>
            </w:r>
          </w:p>
        </w:tc>
      </w:tr>
    </w:tbl>
    <w:p/>
    <w:p>
      <w:pPr>
        <w:keepNext/>
        <w:spacing w:before="360" w:after="240"/>
      </w:pPr>
      <w:r>
        <w:rPr>
          <w:rFonts w:ascii="Calibri" w:hAnsi="Calibri"/>
          <w:b/>
          <w:color w:val="1A365D"/>
          <w:sz w:val="36"/>
        </w:rPr>
        <w:t>Module 3: Production Architecture, Project Design &amp; Error Handling</w:t>
      </w:r>
    </w:p>
    <w:p>
      <w:pPr>
        <w:keepNext/>
        <w:spacing w:before="280" w:after="120"/>
      </w:pPr>
      <w:r>
        <w:rPr>
          <w:rFonts w:ascii="Calibri" w:hAnsi="Calibri"/>
          <w:b/>
          <w:color w:val="2C5282"/>
          <w:sz w:val="28"/>
        </w:rPr>
        <w:t>1. Standardized Directory Layout Standards</w:t>
      </w:r>
    </w:p>
    <w:p>
      <w:pPr>
        <w:spacing w:after="160" w:line="276" w:lineRule="auto"/>
      </w:pPr>
      <w:r>
        <w:rPr>
          <w:rFonts w:ascii="Calibri" w:hAnsi="Calibri"/>
          <w:sz w:val="22"/>
        </w:rPr>
        <w:t>Enterprise platforms enforce rigorous structural containment patterns to avoid circular dependency trees. The standard community framework separates infrastructure entrypoints from internal domain code:</w:t>
      </w:r>
    </w:p>
    <w:p>
      <w:pPr>
        <w:spacing w:after="160" w:line="276" w:lineRule="auto"/>
      </w:pPr>
      <w:r>
        <w:rPr>
          <w:rFonts w:ascii="Calibri" w:hAnsi="Calibri"/>
          <w:sz w:val="22"/>
        </w:rPr>
        <w:t>• /cmd: Application orchestrators and operational entry points. Each binary gets a matching subdirectory.</w:t>
        <w:br/>
        <w:t>• /internal: Non-exportable domain services. Code inside cannot be imported by external packages.</w:t>
        <w:br/>
        <w:t>• /pkg: Exportable helper components intended for public ecosystem consumption.</w:t>
      </w:r>
    </w:p>
    <w:p>
      <w:pPr>
        <w:keepNext/>
        <w:spacing w:before="280" w:after="120"/>
      </w:pPr>
      <w:r>
        <w:rPr>
          <w:rFonts w:ascii="Calibri" w:hAnsi="Calibri"/>
          <w:b/>
          <w:color w:val="2C5282"/>
          <w:sz w:val="28"/>
        </w:rPr>
        <w:t>2. Advanced Idiomatic Error Unwrapping</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200" w:type="dxa"/>
              <w:right w:w="200" w:type="dxa"/>
            </w:tcMar>
            <w:tcBorders>
              <w:top w:val="single" w:sz="4" w:space="0" w:color="D1D5DB"/>
              <w:left w:val="single" w:sz="4" w:space="0" w:color="D1D5DB"/>
              <w:bottom w:val="single" w:sz="4" w:space="0" w:color="D1D5DB"/>
              <w:right w:val="single" w:sz="4" w:space="0" w:color="D1D5DB"/>
            </w:tcBorders>
          </w:tcPr>
          <w:p>
            <w:pPr>
              <w:spacing w:before="0" w:after="0"/>
            </w:pPr>
            <w:r>
              <w:rPr>
                <w:rFonts w:ascii="Consolas" w:hAnsi="Consolas"/>
                <w:color w:val="D4D4D4"/>
                <w:sz w:val="19"/>
              </w:rPr>
              <w:t>package main</w:t>
              <w:br/>
              <w:br/>
              <w:t>import (</w:t>
              <w:br/>
              <w:t xml:space="preserve">    "errors"</w:t>
              <w:br/>
              <w:t xml:space="preserve">    "fmt"</w:t>
              <w:br/>
              <w:t>)</w:t>
              <w:br/>
              <w:br/>
              <w:t>var ErrDatabaseTimeout = errors.New("database connection timeout")</w:t>
              <w:br/>
              <w:br/>
              <w:t>func ExecuteQuery() error {</w:t>
              <w:br/>
              <w:t xml:space="preserve">    return fmt.Errorf("failed operational execution: %w", ErrDatabaseTimeout)</w:t>
              <w:br/>
              <w:t>}</w:t>
              <w:br/>
              <w:br/>
              <w:t>func main() {</w:t>
              <w:br/>
              <w:t xml:space="preserve">    err := ExecuteQuery()</w:t>
              <w:br/>
              <w:t xml:space="preserve">    if errors.Is(err, ErrDatabaseTimeout) {</w:t>
              <w:br/>
              <w:t xml:space="preserve">        fmt.Println("Graceful failure triggered: database timed out.")</w:t>
              <w:br/>
              <w:t xml:space="preserve">    }</w:t>
              <w:br/>
              <w:t>}</w:t>
            </w:r>
          </w:p>
        </w:tc>
      </w:tr>
    </w:tbl>
    <w:p/>
    <w:p>
      <w:pPr>
        <w:keepNext/>
        <w:spacing w:before="360" w:after="240"/>
      </w:pPr>
      <w:r>
        <w:rPr>
          <w:rFonts w:ascii="Calibri" w:hAnsi="Calibri"/>
          <w:b/>
          <w:color w:val="1A365D"/>
          <w:sz w:val="36"/>
        </w:rPr>
        <w:t>Module 4: High-Performance Enterprise Networking &amp; Services</w:t>
      </w:r>
    </w:p>
    <w:p>
      <w:pPr>
        <w:keepNext/>
        <w:spacing w:before="280" w:after="120"/>
      </w:pPr>
      <w:r>
        <w:rPr>
          <w:rFonts w:ascii="Calibri" w:hAnsi="Calibri"/>
          <w:b/>
          <w:color w:val="2C5282"/>
          <w:sz w:val="28"/>
        </w:rPr>
        <w:t>1. Standard Library Routing Optimizations</w:t>
      </w:r>
    </w:p>
    <w:p>
      <w:pPr>
        <w:spacing w:after="160" w:line="276" w:lineRule="auto"/>
      </w:pPr>
      <w:r>
        <w:rPr>
          <w:rFonts w:ascii="Calibri" w:hAnsi="Calibri"/>
          <w:sz w:val="22"/>
        </w:rPr>
        <w:t>Starting in Go 1.22+, the native net/http ServeMux includes enhanced pattern-matching features. It supports specific HTTP method constraints and dynamic wildcard paths directly without requiring third-party dependencies.</w:t>
      </w:r>
    </w:p>
    <w:p>
      <w:pPr>
        <w:keepNext/>
        <w:spacing w:before="280" w:after="120"/>
      </w:pPr>
      <w:r>
        <w:rPr>
          <w:rFonts w:ascii="Calibri" w:hAnsi="Calibri"/>
          <w:b/>
          <w:color w:val="2C5282"/>
          <w:sz w:val="28"/>
        </w:rPr>
        <w:t>2. Production-Grade Custom Middleware Pipeline</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200" w:type="dxa"/>
              <w:right w:w="200" w:type="dxa"/>
            </w:tcMar>
            <w:tcBorders>
              <w:top w:val="single" w:sz="4" w:space="0" w:color="D1D5DB"/>
              <w:left w:val="single" w:sz="4" w:space="0" w:color="D1D5DB"/>
              <w:bottom w:val="single" w:sz="4" w:space="0" w:color="D1D5DB"/>
              <w:right w:val="single" w:sz="4" w:space="0" w:color="D1D5DB"/>
            </w:tcBorders>
          </w:tcPr>
          <w:p>
            <w:pPr>
              <w:spacing w:before="0" w:after="0"/>
            </w:pPr>
            <w:r>
              <w:rPr>
                <w:rFonts w:ascii="Consolas" w:hAnsi="Consolas"/>
                <w:color w:val="D4D4D4"/>
                <w:sz w:val="19"/>
              </w:rPr>
              <w:t>package main</w:t>
              <w:br/>
              <w:br/>
              <w:t>import (</w:t>
              <w:br/>
              <w:t xml:space="preserve">    "log/slog"</w:t>
              <w:br/>
              <w:t xml:space="preserve">    "net/http"</w:t>
              <w:br/>
              <w:t xml:space="preserve">    "time"</w:t>
              <w:br/>
              <w:t>)</w:t>
              <w:br/>
              <w:br/>
              <w:t>func AuditLoggingMiddleware(next http.Handler) http.Handler {</w:t>
              <w:br/>
              <w:t xml:space="preserve">    return http.HandlerFunc(func(w http.ResponseWriter, r *http.Request) {</w:t>
              <w:br/>
              <w:t xml:space="preserve">        start := time.Now()</w:t>
              <w:br/>
              <w:t xml:space="preserve">        next.ServeHTTP(w, r)</w:t>
              <w:br/>
              <w:t xml:space="preserve">        slog.Info("HTTP Transaction Executed", </w:t>
              <w:br/>
              <w:t xml:space="preserve">            "method", r.Method, </w:t>
              <w:br/>
              <w:t xml:space="preserve">            "path", r.URL.Path, </w:t>
              <w:br/>
              <w:t xml:space="preserve">            "latency", time.Since(start))</w:t>
              <w:br/>
              <w:t xml:space="preserve">    })</w:t>
              <w:br/>
              <w:t>}</w:t>
            </w:r>
          </w:p>
        </w:tc>
      </w:tr>
    </w:tbl>
    <w:p/>
    <w:p>
      <w:pPr>
        <w:keepNext/>
        <w:spacing w:before="360" w:after="240"/>
      </w:pPr>
      <w:r>
        <w:rPr>
          <w:rFonts w:ascii="Calibri" w:hAnsi="Calibri"/>
          <w:b/>
          <w:color w:val="1A365D"/>
          <w:sz w:val="36"/>
        </w:rPr>
        <w:t>Module 5: System Profiling, Benchmarking &amp; Testing</w:t>
      </w:r>
    </w:p>
    <w:p>
      <w:pPr>
        <w:keepNext/>
        <w:spacing w:before="280" w:after="120"/>
      </w:pPr>
      <w:r>
        <w:rPr>
          <w:rFonts w:ascii="Calibri" w:hAnsi="Calibri"/>
          <w:b/>
          <w:color w:val="2C5282"/>
          <w:sz w:val="28"/>
        </w:rPr>
        <w:t>1. Writing Memory Alloc and CPU Benchmarks</w:t>
      </w:r>
    </w:p>
    <w:p>
      <w:pPr>
        <w:spacing w:after="160" w:line="276" w:lineRule="auto"/>
      </w:pPr>
      <w:r>
        <w:rPr>
          <w:rFonts w:ascii="Calibri" w:hAnsi="Calibri"/>
          <w:sz w:val="22"/>
        </w:rPr>
        <w:t>Performance optimization requires targeted metrics. Go provides an integrated benchmarking toolset via the testing package to isolate allocations down to the single byte level.</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200" w:type="dxa"/>
              <w:right w:w="200" w:type="dxa"/>
            </w:tcMar>
            <w:tcBorders>
              <w:top w:val="single" w:sz="4" w:space="0" w:color="D1D5DB"/>
              <w:left w:val="single" w:sz="4" w:space="0" w:color="D1D5DB"/>
              <w:bottom w:val="single" w:sz="4" w:space="0" w:color="D1D5DB"/>
              <w:right w:val="single" w:sz="4" w:space="0" w:color="D1D5DB"/>
            </w:tcBorders>
          </w:tcPr>
          <w:p>
            <w:pPr>
              <w:spacing w:before="0" w:after="0"/>
            </w:pPr>
            <w:r>
              <w:rPr>
                <w:rFonts w:ascii="Consolas" w:hAnsi="Consolas"/>
                <w:color w:val="D4D4D4"/>
                <w:sz w:val="19"/>
              </w:rPr>
              <w:t>package main</w:t>
              <w:br/>
              <w:br/>
              <w:t>import "testing"</w:t>
              <w:br/>
              <w:br/>
              <w:t>func BenchmarkDataTransformation(b *testing.B) {</w:t>
              <w:br/>
              <w:t xml:space="preserve">    for i := 0; i &lt; b.N; i++ {</w:t>
              <w:br/>
              <w:t xml:space="preserve">        // Execute performance critical function logic here</w:t>
              <w:br/>
              <w:t xml:space="preserve">    }</w:t>
              <w:br/>
              <w:t>}</w:t>
            </w:r>
          </w:p>
        </w:tc>
      </w:tr>
    </w:tbl>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none"/>
              <w:left w:val="single" w:sz="24" w:space="0" w:color="1A365D"/>
              <w:bottom w:val="none"/>
              <w:right w:val="none"/>
            </w:tcBorders>
          </w:tcPr>
          <w:p>
            <w:pPr>
              <w:spacing w:before="40" w:after="40"/>
            </w:pPr>
            <w:r>
              <w:rPr>
                <w:rFonts w:ascii="Calibri" w:hAnsi="Calibri"/>
                <w:i/>
                <w:color w:val="2D3748"/>
                <w:sz w:val="21"/>
              </w:rPr>
              <w:t>CLI Evaluation Execution Flags:</w:t>
              <w:br/>
              <w:t>Execute performance benchmarks and export heap and execution profiles directly via:</w:t>
              <w:br/>
              <w:t>go test -bench=. -benchmem -cpuprofile=cpu.pprof -memprofile=mem.pprof</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