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Wytyczne Marki — Skills Academy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Dokument uzupełniający do biznesplanu „Centrum Kompetencji Przyszłości dla Dzieci"</w:t>
      </w:r>
      <w:r>
        <w:rPr/>
        <w:t> Wersja robocza 1.3 — usunięto sprzeczność między hasłem głównym a ofertą Teens Senior (osobne hasło), dodano słownik Teens Senior, poprawiono błąd formatowania tabeli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Status dokumentu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Wytyczne marki traktuje się w praktyce brandingowej jako dokument żywy, a nie jednorazowy plik — aktualizowany co najmniej raz w roku lub przy każdej istotnej zmianie w komunikacji, ofercie czy pozycjonowaniu. Poniższa wersja jest punktem wyjścia do pracy z grafikiem/projektantem marki, nie ostatecznym brand bookiem.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0. Zakres wiekowy a nazwa marki — decyzja podjęta ✅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Rozstrzygnięte: nazwa </w:t>
      </w:r>
      <w:r>
        <w:rPr>
          <w:b/>
        </w:rPr>
        <w:t>Skills Academy</w:t>
      </w:r>
      <w:r>
        <w:rPr/>
        <w:t xml:space="preserve"> (bez „Kids") działa jako jedna marka z dwiema wewnętrznymi ścieżkami: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Kids + Teens Junior (5–15 lat)</w:t>
      </w:r>
      <w:r>
        <w:rPr/>
        <w:t xml:space="preserve"> — pełny model rdzeń + fakultety (Rozdz. 9 biznesplanu), z trzecim filarem rdzenia dla Teens Junior — Exams (przygotowanie do egzaminu ósmoklasisty)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Teens Senior (16–19 lat)</w:t>
      </w:r>
      <w:r>
        <w:rPr/>
        <w:t xml:space="preserve"> — osobna, standalone oferta przygotowania do matury, świadomie poza modelem filarowym — zaprojektowana jako stabilne źródło przychodu od startu, na sprawdzonym rynku korepetycji maturalnych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rozwiązanie usuwa napięcie „dzieci vs młodzież" bez kosztu dwóch osobnych marek (Kierunek 2 z poprzedniej wersji) — jedna nazwa, jedna wizualna tożsamość bazowa, ale wyraźnie odseparowany ton dla Teens Senior (patrz 4.2).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Fundamenty marki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Zaczerpnięte wprost z biznesplanu (Rozdział 2) — to nie są elementy do wymyślenia na nowo, tylko do skonsekwentnego wyrażenia w każdym punkcie styku z odbiorcą.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Treść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Misja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Wspieranie dzieci w rozwijaniu kompetencji potrzebnych do życia w XXI wieku poprzez połączenie języka angielskiego, umiejętności życiowych, edukacji medialnej i nauki przez doświadczenie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Wizja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Rozpoznawalne w Szczecinie centrum edukacyjne wyznaczające nowe standardy edukacji językowej i kompetencji przyszłości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Wartości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Rozwój, Samodzielność, Odpowiedzialność, Kreatywność, Współpraca, Bezpieczeństwo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Pozycjonowanie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Świadomie NIE szkoła językowa — Centrum Kompetencji Przyszłości dla Dzieci (dotyczy Kids + Teens Junior; Teens Senior pozycjonowany osobno, patrz niżej)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Hasło główne (Kids + Teens Junior)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„</w:t>
            </w:r>
            <w:r>
              <w:rPr/>
              <w:t>Angielski dla życia, nie tylko dla szkoły"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Hasło Teens Senior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widowControl w:val="false"/>
              <w:suppressLineNumbers/>
              <w:bidi w:val="0"/>
              <w:jc w:val="start"/>
              <w:rPr/>
            </w:pPr>
            <w:r>
              <w:rPr/>
              <w:t>„</w:t>
            </w:r>
            <w:r>
              <w:rPr/>
              <w:t xml:space="preserve">Konkretny plan na maturę z angielskiego" — celowo inne niż hasło główne, bo Teens Senior </w:t>
            </w:r>
            <w:r>
              <w:rPr>
                <w:i/>
              </w:rPr>
              <w:t>jest</w:t>
            </w:r>
            <w:r>
              <w:rPr/>
              <w:t xml:space="preserve"> dla szkoły wprost, i udawanie inaczej osłabiłoby wiarygodność tej oferty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Uwaga o sprzeczności, którą to rozwiązuje:</w:t>
      </w:r>
      <w:r>
        <w:rPr/>
        <w:t xml:space="preserve"> hasło główne świadomie odcina się od „szkolności" — dobre dla Kids i Teens Junior, ale wprost sprzeczne z sensem istnienia Teens Senior (który </w:t>
      </w:r>
      <w:r>
        <w:rPr>
          <w:i/>
        </w:rPr>
        <w:t>jest</w:t>
      </w:r>
      <w:r>
        <w:rPr/>
        <w:t xml:space="preserve"> przygotowaniem do konkretnego egzaminu szkolnego). Zamiast rozciągać jedno hasło na obie oferty, Teens Senior dostaje własne, uczciwe wobec swojego celu — spójne z tym, że ma już osobny rejestr tonalny (sekcja 4.2) i osobną paletę (sekcja 5.1).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Archetyp marki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Model archetypów marki (Margaret Mark, Carol Pearson, </w:t>
      </w:r>
      <w:r>
        <w:rPr>
          <w:i/>
        </w:rPr>
        <w:t>The Hero and the Outlaw</w:t>
      </w:r>
      <w:r>
        <w:rPr/>
        <w:t>, 2001) opiera się na koncepcji Junga: dwanaście uniwersalnych wzorców osobowości, które ludzie rozpoznają intuicyjnie w opowieściach, mitach i markach. Autorki grupują te archetypy w cztery klastry wedle motywacji: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Klaster motywacyjny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Archetypy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Niezależność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Niewinny, Mędrzec, Odkrywca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Mistrzostwo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Bohater, Buntownik, Czarodziej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Przynależność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Zwykły Człowiek, Kochanek, Błazen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Stabilność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Opiekun, Twórca, Władca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Skills Academy: Odkrywca + Mędrzec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nie jest dowolne zestawienie — oba archetypy należą do tego samego klastra „niezależność", więc nie ciągną komunikacji w sprzeczne strony (jak np. Odkrywca + Władca, gdzie wolność kłóciłaby się z kontrolą).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Odkrywca</w:t>
      </w:r>
      <w:r>
        <w:rPr/>
        <w:t xml:space="preserve"> — wolność, autentyczność, przygoda. Realizuje się wprost w Move &amp; Speak Missions, English in Motion, ruchu jako metodzie.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Mędrzec</w:t>
      </w:r>
      <w:r>
        <w:rPr/>
        <w:t xml:space="preserve"> — prawda przez wiedzę i badania. Realizuje się w oparciu programu o OECD, UNESCO, UNICEF, WHO, EEF, TPR, PBL.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Praktyczna konsekwencja: każdy komunikat marki powinien dawać się obronić jednocześnie </w:t>
      </w:r>
      <w:r>
        <w:rPr>
          <w:b/>
        </w:rPr>
        <w:t>ciekawostką/przygodą</w:t>
      </w:r>
      <w:r>
        <w:rPr/>
        <w:t xml:space="preserve"> i </w:t>
      </w:r>
      <w:r>
        <w:rPr>
          <w:b/>
        </w:rPr>
        <w:t>dowodem/źródłem</w:t>
      </w:r>
      <w:r>
        <w:rPr/>
        <w:t>. Komunikat, który ma tylko jedno z tych dwóch, jest niedomknięty.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Wyjątek:</w:t>
      </w:r>
      <w:r>
        <w:rPr/>
        <w:t xml:space="preserve"> Teens Senior świadomie rezygnuje z połowy tego archetypu — zostaje niemal czysty Mędrzec, bez Odkrywcy (uzasadnienie w sekcji 4.2). To jedyne miejsce w marce, gdzie jednostronny komunikat jest poprawny, nie niedomknięty.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Osobowość marki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Drugi, uzupełniający model — wymiary osobowości marki Jennifer Aaker (Aaker, </w:t>
      </w:r>
      <w:r>
        <w:rPr>
          <w:i/>
        </w:rPr>
        <w:t>Dimensions of Brand Personality</w:t>
      </w:r>
      <w:r>
        <w:rPr/>
        <w:t>, 1997) — pięć skal, na których można świadomie umiejscowić markę, żeby słownictwo, obrazy i ton były spójne w całej organizacji, nie tylko w głowie jednej osoby.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Wymiar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Poziom dla Skills Academy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Uzasadnienie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Kompetencja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Wysoki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Rdzeń różnicujący na tle konkurencji (Rozdz. 6) — badania, metodologia, aneks naukowy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Ekscytacja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Wysoki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Ruch, misje, muzyka — bez tego marka zlewa się z tradycyjną szkołą językową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Szczerość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Średnio-wysoki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Autentyczna troska o dziecko, bezpieczeństwo, brak nachalnego marketingu strachu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Wyrafinowanie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Średni, świadomie ograniczony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Elegancja tak, elitarność nie — segmenty klientów (Rozdz. 5.3) to rodzice aktywni, nie ekskluzywna nisza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Twardość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Niski dla Kids i Teens Junior, umiarkowany dla Teens Senior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Ten wymiar (surowość, „outdoorowość") nie pasuje do odbiorcy 5–15 lat i lepiej go świadomie wyłączyć. Teens Senior nie ma Motion Skills (poza modelem filarowym) — tam Twardość zastępuje raczej „powaga rezultatu" niż fizyczna rywalizacja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Praktyczne zastosowanie: Kompetencja i Ekscytacja to dwa filary, na których buduje się każdy komunikat. Szczerość jest tłem. Wyrafinowanie i Twardość świadomie trzyma się nisko — to zabezpiecza markę przed dwoma najczęstszymi błędami w tej kategorii: infantylizmem bez treści i sztywnością bez radości.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Tożsamość werbalna</w:t>
      </w:r>
    </w:p>
    <w:p>
      <w:pPr>
        <w:pStyle w:val="Heading3"/>
        <w:bidi w:val="0"/>
        <w:ind w:hanging="0" w:start="0"/>
        <w:jc w:val="start"/>
        <w:rPr/>
      </w:pPr>
      <w:r>
        <w:rPr/>
        <w:t>4.1 Głos a ton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Rozróżnienie kluczowe w praktyce brandingowej: </w:t>
      </w:r>
      <w:r>
        <w:rPr>
          <w:b/>
        </w:rPr>
        <w:t>głos marki jest stały</w:t>
      </w:r>
      <w:r>
        <w:rPr/>
        <w:t xml:space="preserve"> (to wynika z archetypu i osobowości powyżej), </w:t>
      </w:r>
      <w:r>
        <w:rPr>
          <w:b/>
        </w:rPr>
        <w:t>ton adaptuje się do kanału i odbiorcy</w:t>
      </w:r>
      <w:r>
        <w:rPr/>
        <w:t xml:space="preserve"> — dokładnie tak, jak globalne marki utrzymują spójny głos, dostosowując ton kulturowo i kanałowo bez utraty tożsamości.</w:t>
      </w:r>
    </w:p>
    <w:p>
      <w:pPr>
        <w:pStyle w:val="Heading3"/>
        <w:bidi w:val="0"/>
        <w:ind w:hanging="0" w:start="0"/>
        <w:jc w:val="start"/>
        <w:rPr/>
      </w:pPr>
      <w:r>
        <w:rPr/>
        <w:t>4.2 Segmentacja odbiorców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Biznesplan definiuje dziś pięć grup w dwóch ścieżkach (Rozdz. 9.2) — każda wymaga innego tonu, przy tym samym głosie (poza Teens Senior, patrz niżej):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Grupa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Wiek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Faza rozwojowa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Kalibracja tonu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Kids 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5–7 lat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Faza przejściowa (5 to 7 shift)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Najprostsze zdania, czasowniki w trybie rozkazującym, dużo powtórzeń, ton zabawowy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Kids 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8–10 lat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Stabilne operacje konkretne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Ton misji/gry — wyzwania, osiągnięcia, „jesteś detektywem"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Kids 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11–12 lat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Początek myślenia formalnego i dojrzewania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Ton partnerski, mniej infantylny — dziecko traktowane jak współpracownik, nie maskotka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Teens Junior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13–15 lat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Ostatnie lata podstawówki, cel: ósmoklasista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Ton rówieśniczy, bez maskotek; komunikacja może iść już częściowo bezpośrednio do nastolatka, nie tylko przez rodzica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Teens Senior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16–19 lat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Poza modelem filarowym — oferta wynikowa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Rejestr Mędrca niemal wyłącznie — skuteczność, wynik, dowody (arkusze, statystyki zdawalności). Minimalna „przygoda" — to świadome odejście od głosu reszty marki, bo klient kupuje tu rezultat, nie doświadczenie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Rodzic (Kids + Teens Junior)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Dowód skuteczności, bezpieczeństwo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Rzeczowy, konkretny, z odniesieniem do metody/badań, bez straszenia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>
                <w:b/>
              </w:rPr>
            </w:pPr>
            <w:r>
              <w:rPr>
                <w:b/>
              </w:rPr>
              <w:t>Rodzic i maturzysta (Teens Senior)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Decyzja często wspólna, presja wyniku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Konkretne liczby (progi punktowe, poziomy B1/B2), bez metafor przygody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4.3 Słownik marki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Zestaw słów preferowanych i unikanych to standardowy element profesjonalnych wytycznych werbalnych — chroni przed niezamierzonym zsunięciem się w język konkurencji.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Unikamy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Używamy zamiast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szkoła językowa, kurs, lekcja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centrum kompetencji, misja, zajęcia, spotkanie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uczeń, klasa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odkrywca, drużyna, ekipa, grupa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nauka słówek, gramatyka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działanie po angielsku, komunikacja, misja językowa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„</w:t>
            </w:r>
            <w:r>
              <w:rPr/>
              <w:t>dziecko zostanie w tyle" (strach)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„</w:t>
            </w:r>
            <w:r>
              <w:rPr/>
              <w:t>dziecko gotowe na przyszłość" (motywacja pozytywna)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program, zajęcia dodatkowe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przygoda, doświadczenie, projekt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zajęcia fakultatywne, przedmiot dodatkowy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fakultet — wybór wg zainteresowań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pakiet, abonament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karnet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obowiązkowe zajęcia bazowe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Rdzeń (Useful Skills + Life Skills)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Dwa nowe terminy programowe (Rdzeń, Fakultety — Rozdz. 9 biznesplanu) warto od razu wprowadzać rodzicom razem z uzasadnieniem, nie jako gotowy żargon: „Rdzeń" brzmi dobrze w Mędrcu (struktura, metoda), ale bez wyjaśnienia „co to znaczy w praktyce" zabrzmi urzędowo — zawsze w parze z konkretnym przykładem zajęć.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Słownik Teens Senior (osobny rejestr):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Unikamy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Używamy zamiast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„</w:t>
            </w:r>
            <w:r>
              <w:rPr/>
              <w:t>oblejesz maturę bez korepetycji" (strach)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konkretny wynik — punkty, próg zdawalności, poziom B1/B2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„</w:t>
            </w:r>
            <w:r>
              <w:rPr/>
              <w:t>zabawa", „przygoda", „misja"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plan, strategia, przygotowanie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ogólne „podniesiemy Twój poziom"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konkretne liczby z arkuszy CKE, realne przykłady poprawy wyniku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 jedyne miejsce w marce, gdzie słowa z lewej kolumny głównego słownika (przygoda, misja, doświadczenie) same stają się słowami do unikania — bo tu działa odwrotna logika tonu niż w Kids i Teens Junior.</w:t>
      </w:r>
    </w:p>
    <w:p>
      <w:pPr>
        <w:pStyle w:val="Heading3"/>
        <w:bidi w:val="0"/>
        <w:ind w:hanging="0" w:start="0"/>
        <w:jc w:val="start"/>
        <w:rPr/>
      </w:pPr>
      <w:r>
        <w:rPr/>
        <w:t>4.4 Przykład zastosowania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Do rodzica (Facebook, materiały grantowe):</w:t>
      </w:r>
      <w:r>
        <w:rPr/>
        <w:t> „Nie uczymy słówek na pamięć. Uczymy dzieci działać po angielsku — pytać, negocjować, rozwiązywać problemy. Metoda oparta na TPR i PBL, rekomendowana przez OECD i EEF."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Do dziecka segmentu B (na zajęciach, TikTok):</w:t>
      </w:r>
      <w:r>
        <w:rPr/>
        <w:t> „Dziś jesteś detektywem. Masz jedną wskazówkę po angielsku i 20 minut."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Ta sama osobowość (Odkrywca + Mędrzec, wysoka Kompetencja i Ekscytacja), inny rejestr.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Tożsamość wizualna</w:t>
      </w:r>
    </w:p>
    <w:p>
      <w:pPr>
        <w:pStyle w:val="Heading3"/>
        <w:bidi w:val="0"/>
        <w:ind w:hanging="0" w:start="0"/>
        <w:jc w:val="start"/>
        <w:rPr/>
      </w:pPr>
      <w:r>
        <w:rPr/>
        <w:t>5.1 Paleta barw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Badania nad kolorystyką przestrzeni edukacyjnych pokazują, że dzieci w różnym wieku przetwarzają intensywność koloru inaczej — klasy z barwami stonowanymi ograniczają zachowania rozpraszające u młodszych dzieci silniej niż jaskrawe barwy podstawowe, podczas gdy starsze dzieci i młodzież lepiej reagują na bardziej stonowaną, „dojrzalszą" paletę neutralną. To pokrywa się z czterema grupami wiekowymi z Rozdz. 9.2 — paleta nie powinna być jedną płaską barwą, tylko jednym spójnym systemem z modulacją.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Rekomendowana struktura (reguła proporcji stosowana w projektowaniu przestrzeni edukacyjnych): </w:t>
      </w:r>
      <w:r>
        <w:rPr>
          <w:b/>
        </w:rPr>
        <w:t>60% baza stonowana / 30% akcenty poznawcze / 10% akcenty motywacyjne.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Warstwa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Funkcja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Kierunek kolorystyczny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Baza (60%)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Tło marki — spójne dla całej Akademii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Stonowany granat/terakota/kość słoniowa — kompetencja + ciepło, nie plastikowe przedszkole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Akcent poznawczy (30%)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Grupy 2–3 (8–13 lat), materiały „misji"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Nasycone, ale pojedyncze barwy — musztardowy, butelkowa zieleń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Akcent motywacyjny (10%)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Grupa 1 (5–7 lat), momenty nagrody/osiągnięcia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Jeden żywy kolor jako „iskra" — np. koralowy lub cytrynowy, użyty punktowo, nigdy jako tło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Uwaga praktyczna z badań nad brandingiem uczelni: nawet najpopularniejszy w edukacji kolor (żółty) nigdy nie występuje samodzielnie — zawsze w parze z neutralną barwą bazową. Ta sama zasada dotyczy tu akcentów.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Teens Junior (13–15 lat)</w:t>
      </w:r>
      <w:r>
        <w:rPr/>
        <w:t xml:space="preserve"> — wciąż w modelu filarowym, ale bliżej dojrzałej, stonowanej wersji palety niż pełnej „iskry" z Kids 1. </w:t>
      </w:r>
      <w:r>
        <w:rPr>
          <w:b/>
        </w:rPr>
        <w:t>Teens Senior (16–19 lat)</w:t>
      </w:r>
      <w:r>
        <w:rPr/>
        <w:t xml:space="preserve"> — poza modelem filarowym: rekomendowana sama baza 60% + jeden pojedynczy, stonowany akcent (np. tylko granat + jeden neutralny odcień), bez akcentów „misji" — materiały wyglądają bliżej materiałów edukacyjnych dla dorosłych (arkusze, statystyki) niż reszty marki.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To są kierunki wyjściowe do dalszej pracy z projektantem, nie finalne kody HEX — te ustala się dopiero przy projektowaniu logo.</w:t>
      </w:r>
    </w:p>
    <w:p>
      <w:pPr>
        <w:pStyle w:val="Heading3"/>
        <w:bidi w:val="0"/>
        <w:ind w:hanging="0" w:start="0"/>
        <w:jc w:val="start"/>
        <w:rPr/>
      </w:pPr>
      <w:r>
        <w:rPr/>
        <w:t>5.2 Typografia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Zgodnie z podwójną osobowością marki (Odkrywca + Mędrzec) — para typograficzna, nie jeden krój: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Krój podstawowy</w:t>
      </w:r>
      <w:r>
        <w:rPr/>
        <w:t xml:space="preserve"> (Mędrzec) — pewny, czytelny, bez ozdobników — do tekstów dla rodziców, dokumentów, wniosków grantowych.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Krój akcentowy</w:t>
      </w:r>
      <w:r>
        <w:rPr/>
        <w:t xml:space="preserve"> (Odkrywca) — odręczny lub dynamiczny — wyłącznie do nagłówków, nazw misji, materiałów dla dzieci. Nigdy do dłuższych bloków tekstu (czytelność).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Logo — zasady na przyszłość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Profesjonalne wytyczne zawsze definiują nie tylko jak logo wygląda, ale jak NIE wolno go używać. Checklist do ustalenia z projektantem, gdy logo powstanie: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minimalne pole ochronne wokół znaku,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minimalny rozmiar (druk vs. digital),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warianty (pełna nazwa / sam symbol / pozioma / pionowa),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lista „logo don'ts" (rozciąganie, zmiana kolorów, dodawanie cieni/efektów).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Zastosowanie w kanałach komunikacji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Biznesplan (Rozdz. 10.3) definiuje cztery kanały; Google rozbity jest tu na dwa różne nastawienia tonalne (Kids/Teens Junior vs Teens Senior), bo to dwie zupełnie różne intencje wyszukiwania: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Kanał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Odbiorca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agwektabeli"/>
              <w:bidi w:val="0"/>
              <w:jc w:val="start"/>
              <w:rPr/>
            </w:pPr>
            <w:r>
              <w:rPr/>
              <w:t>Nacisk tonalny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Facebook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Rodzice (głównie Kids)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Mędrzec dominuje — dowody, metodologia, wydarzenia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Instagram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Budowanie marki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Równowaga Odkrywca/Mędrzec — estetyka + treść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TikTok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Kids 2–3 i Teens Junior pośrednio i częściowo bezpośrednio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Odkrywca dominuje — energia, ruch, humor; jedyny kanał, gdzie warto mówić wprost do nastolatka z Teens Junior, nie tylko do rodzica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Google (lokalnie)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Wyszukujący rodzice Kids/Teens Junior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Mędrzec, język rzeczowy, słowa kluczowe z pozycjonowania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Google (Teens Senior)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Maturzyści i rodzice szukający korepetycji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"/>
              <w:bidi w:val="0"/>
              <w:jc w:val="start"/>
              <w:rPr/>
            </w:pPr>
            <w:r>
              <w:rPr/>
              <w:t>Wyłącznie Mędrzec — to kategoria o bardzo wysokiej intencji wyszukiwania („korepetycje matura angielski Szczecin"), gdzie liczy się trafność słów kluczowych i dowód skuteczności, nie budowanie marki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Zasada: głos marki (archetyp + osobowość) pozostaje identyczny w Kids i Teens Junior, zmienia się tylko proporcja i rejestr — zgodnie z zasadą „stały głos, zmienny ton" z sekcji 4.1. Teens Senior jest świadomym wyjątkiem od tej zasady (patrz 4.2 i sekcja 0) — to osobna oferta z własnym, węższym rejestrem.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Nazewnictwo — zasada spójności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Wybór ostatecznej nazwy marki (trwa równolegle) powinien być testowany pod kątem zgodności z powyższym archetypem: nazwa powinna dać się obronić jednocześnie jako </w:t>
      </w:r>
      <w:r>
        <w:rPr>
          <w:b/>
        </w:rPr>
        <w:t>poważna</w:t>
      </w:r>
      <w:r>
        <w:rPr/>
        <w:t xml:space="preserve"> (Mędrzec — dobrze wygląda na fakturze, wniosku grantowym) i </w:t>
      </w:r>
      <w:r>
        <w:rPr>
          <w:b/>
        </w:rPr>
        <w:t>skrywająca uśmiech</w:t>
      </w:r>
      <w:r>
        <w:rPr/>
        <w:t xml:space="preserve"> (Odkrywca — coś do odkrycia przy bliższym poznaniu), a nie tylko jedno z tych dwóch.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Trzeci warunek, dodany po rozszerzeniu wieku ✅ spełniony:</w:t>
      </w:r>
      <w:r>
        <w:rPr/>
        <w:t xml:space="preserve"> nazwa musi dodatkowo przechodzić test „czy 16-latek się pod nią podpisze". „Skills Academy" (bez „kids") ten test przechodzi — a dla Teens Senior nawet nazwa nie musi się bezpośrednio pojawiać w komunikacji tak często: liczy się głównie fraza „przygotowanie do matury", nie marka.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Utrzymanie dokumentu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Rekomendowany przegląd: raz w roku lub przy każdej istotnej zmianie (nowa nazwa, nowy kanał, rebranding). Każda aktualizacja powinna nieść datę i numer wersji, żeby cały zespół (w tym współpracownicy z Rozdz. 23 biznesplanu) wiedział, która wersja obowiązuje.</w:t>
      </w:r>
    </w:p>
    <w:p>
      <w:pPr>
        <w:pStyle w:val="Liniapozioma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Ramy metodologiczne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Mark, M., Pearson, C.S. — </w:t>
      </w:r>
      <w:r>
        <w:rPr>
          <w:i/>
        </w:rPr>
        <w:t>The Hero and the Outlaw: Building Extraordinary Brands Through the Power of Archetypes</w:t>
      </w:r>
      <w:r>
        <w:rPr/>
        <w:t xml:space="preserve"> (2001) — model archetypów marki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Aaker, J. — </w:t>
      </w:r>
      <w:r>
        <w:rPr>
          <w:i/>
        </w:rPr>
        <w:t>Dimensions of Brand Personality</w:t>
      </w:r>
      <w:r>
        <w:rPr/>
        <w:t>, Journal of Marketing Research (1997) — model osobowości marki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Badania nad kolorystyką przestrzeni edukacyjnych i reakcją dzieci w różnym wieku na intensywność barw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Standardowa struktura profesjonalnych wytycznych marki (fundamenty / tożsamość werbalna / tożsamość wizualna / zasady utrzymania dokumentu) stosowana przez agencje brandingowe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agwek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agwek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8</Pages>
  <Words>2042</Words>
  <Characters>12825</Characters>
  <CharactersWithSpaces>14714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/>
</cp:coreProperties>
</file>