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rFonts w:eastAsia="Times New Roman"/>
          <w:color w:themeColor="text1" w:val="000000"/>
        </w:rPr>
      </w:pPr>
      <w:r>
        <w:rPr>
          <w:rFonts w:eastAsia="Times New Roman"/>
          <w:color w:themeColor="text1" w:val="000000"/>
        </w:rPr>
        <w:t>SKILLS ACADEMY</w:t>
      </w:r>
    </w:p>
    <w:p>
      <w:pPr>
        <w:pStyle w:val="Heading1"/>
        <w:rPr>
          <w:rFonts w:eastAsia="Times New Roman"/>
          <w:color w:themeColor="text1" w:val="000000"/>
        </w:rPr>
      </w:pPr>
      <w:r>
        <w:rPr>
          <w:rFonts w:eastAsia="Times New Roman"/>
          <w:color w:themeColor="text1" w:val="000000"/>
        </w:rPr>
        <w:t>STRESZCZENIE PROJEKTU</w:t>
      </w:r>
    </w:p>
    <w:p>
      <w:pPr>
        <w:pStyle w:val="NormalWeb"/>
        <w:rPr>
          <w:i/>
          <w:color w:themeColor="text1" w:val="000000"/>
        </w:rPr>
      </w:pPr>
      <w:r>
        <w:rPr>
          <w:i/>
          <w:color w:themeColor="text1" w:val="000000"/>
        </w:rPr>
        <w:t>Dokument informacyjny dla doradcy zawodowego / instytucji wdrażającej. Materiał towarzyszący pełnemu biznesplanowi (73 strony, 31 rozdziałów oraz aneks naukowy).</w:t>
      </w:r>
    </w:p>
    <w:p>
      <w:pPr>
        <w:pStyle w:val="Heading1"/>
        <w:rPr>
          <w:rFonts w:eastAsia="Times New Roman"/>
          <w:color w:themeColor="text1" w:val="000000"/>
        </w:rPr>
      </w:pPr>
      <w:r>
        <w:rPr>
          <w:rFonts w:eastAsia="Times New Roman"/>
          <w:color w:themeColor="text1" w:val="000000"/>
        </w:rPr>
        <w:t>1. Podstawowe informacje</w:t>
      </w:r>
    </w:p>
    <w:tbl>
      <w:tblPr>
        <w:tblW w:type="dxa" w:w="9000"/>
        <w:tblBorders>
          <w:top w:val="single" w:sz="4" w:space="0" w:color="BFBFBF"/>
          <w:left w:val="none" w:sz="0" w:space="0" w:color="auto"/>
          <w:bottom w:val="single" w:sz="4" w:space="0" w:color="BFBFBF"/>
          <w:right w:val="none" w:sz="0" w:space="0" w:color="auto"/>
          <w:insideH w:val="single" w:sz="4" w:space="0" w:color="D9D9D9"/>
          <w:insideV w:val="none" w:sz="0" w:space="0" w:color="auto"/>
        </w:tblBorders>
      </w:tblPr>
      <w:tblGrid>
        <w:gridCol w:w="2600"/>
        <w:gridCol w:w="6400"/>
      </w:tblGrid>
      <w:tr>
        <w:tc>
          <w:tcPr>
            <w:tcW w:type="dxa" w:w="2600"/>
          </w:tcPr>
          <w:p>
            <w:pPr>
              <w:pStyle w:val="NormalWeb"/>
              <w:spacing w:before="40" w:after="40"/>
              <w:jc w:val="left"/>
              <w:rPr>
                <w:b/>
                <w:color w:themeColor="text1" w:val="000000"/>
              </w:rPr>
            </w:pPr>
            <w:r>
              <w:rPr>
                <w:b/>
                <w:color w:themeColor="text1" w:val="000000"/>
              </w:rPr>
              <w:t>Nazwa przedsięwzięcia</w:t>
            </w:r>
          </w:p>
        </w:tc>
        <w:tc>
          <w:tcPr>
            <w:tcW w:type="dxa" w:w="6400"/>
          </w:tcPr>
          <w:p>
            <w:pPr>
              <w:pStyle w:val="NormalWeb"/>
              <w:spacing w:before="40" w:after="40"/>
              <w:jc w:val="left"/>
              <w:rPr>
                <w:color w:themeColor="text1" w:val="000000"/>
              </w:rPr>
            </w:pPr>
            <w:r>
              <w:rPr>
                <w:color w:themeColor="text1" w:val="000000"/>
              </w:rPr>
              <w:t>Skills Academy</w:t>
            </w:r>
          </w:p>
        </w:tc>
      </w:tr>
      <w:tr>
        <w:tc>
          <w:tcPr>
            <w:tcW w:type="dxa" w:w="2600"/>
          </w:tcPr>
          <w:p>
            <w:pPr>
              <w:pStyle w:val="NormalWeb"/>
              <w:spacing w:before="40" w:after="40"/>
              <w:jc w:val="left"/>
              <w:rPr>
                <w:b/>
                <w:color w:themeColor="text1" w:val="000000"/>
              </w:rPr>
            </w:pPr>
            <w:r>
              <w:rPr>
                <w:b/>
                <w:color w:themeColor="text1" w:val="000000"/>
              </w:rPr>
              <w:t>Lokalizacja</w:t>
            </w:r>
          </w:p>
        </w:tc>
        <w:tc>
          <w:tcPr>
            <w:tcW w:type="dxa" w:w="6400"/>
          </w:tcPr>
          <w:p>
            <w:pPr>
              <w:pStyle w:val="NormalWeb"/>
              <w:spacing w:before="40" w:after="40"/>
              <w:jc w:val="left"/>
              <w:rPr>
                <w:color w:themeColor="text1" w:val="000000"/>
              </w:rPr>
            </w:pPr>
            <w:r>
              <w:rPr>
                <w:color w:themeColor="text1" w:val="000000"/>
              </w:rPr>
              <w:t>Szczecin, lokal stacjonarny 60–140 m²</w:t>
            </w:r>
          </w:p>
        </w:tc>
      </w:tr>
      <w:tr>
        <w:tc>
          <w:tcPr>
            <w:tcW w:type="dxa" w:w="2600"/>
          </w:tcPr>
          <w:p>
            <w:pPr>
              <w:pStyle w:val="NormalWeb"/>
              <w:spacing w:before="40" w:after="40"/>
              <w:jc w:val="left"/>
              <w:rPr>
                <w:b/>
                <w:color w:themeColor="text1" w:val="000000"/>
              </w:rPr>
            </w:pPr>
            <w:r>
              <w:rPr>
                <w:b/>
                <w:color w:themeColor="text1" w:val="000000"/>
              </w:rPr>
              <w:t>Forma prawna</w:t>
            </w:r>
          </w:p>
        </w:tc>
        <w:tc>
          <w:tcPr>
            <w:tcW w:type="dxa" w:w="6400"/>
          </w:tcPr>
          <w:p>
            <w:pPr>
              <w:pStyle w:val="NormalWeb"/>
              <w:spacing w:before="40" w:after="40"/>
              <w:jc w:val="left"/>
              <w:rPr>
                <w:color w:themeColor="text1" w:val="000000"/>
              </w:rPr>
            </w:pPr>
            <w:r>
              <w:rPr>
                <w:color w:themeColor="text1" w:val="000000"/>
              </w:rPr>
              <w:t>Jednoosobowa działalność gospodarcza (CEIDG); druga osoba prowadząca zajęcia na umowie cywilnoprawnej</w:t>
            </w:r>
          </w:p>
        </w:tc>
      </w:tr>
      <w:tr>
        <w:tc>
          <w:tcPr>
            <w:tcW w:type="dxa" w:w="2600"/>
          </w:tcPr>
          <w:p>
            <w:pPr>
              <w:pStyle w:val="NormalWeb"/>
              <w:spacing w:before="40" w:after="40"/>
              <w:jc w:val="left"/>
              <w:rPr>
                <w:b/>
                <w:color w:themeColor="text1" w:val="000000"/>
              </w:rPr>
            </w:pPr>
            <w:r>
              <w:rPr>
                <w:b/>
                <w:color w:themeColor="text1" w:val="000000"/>
              </w:rPr>
              <w:t>Proponowane PKD</w:t>
            </w:r>
          </w:p>
        </w:tc>
        <w:tc>
          <w:tcPr>
            <w:tcW w:type="dxa" w:w="6400"/>
          </w:tcPr>
          <w:p>
            <w:pPr>
              <w:pStyle w:val="NormalWeb"/>
              <w:spacing w:before="40" w:after="40"/>
              <w:jc w:val="left"/>
              <w:rPr>
                <w:color w:themeColor="text1" w:val="000000"/>
              </w:rPr>
            </w:pPr>
            <w:r>
              <w:rPr>
                <w:color w:themeColor="text1" w:val="000000"/>
              </w:rPr>
              <w:t>85.59.A (wiodący), 85.59.B, 88.91.Z</w:t>
            </w:r>
          </w:p>
        </w:tc>
      </w:tr>
      <w:tr>
        <w:tc>
          <w:tcPr>
            <w:tcW w:type="dxa" w:w="2600"/>
          </w:tcPr>
          <w:p>
            <w:pPr>
              <w:pStyle w:val="NormalWeb"/>
              <w:spacing w:before="40" w:after="40"/>
              <w:jc w:val="left"/>
              <w:rPr>
                <w:b/>
                <w:color w:themeColor="text1" w:val="000000"/>
              </w:rPr>
            </w:pPr>
            <w:r>
              <w:rPr>
                <w:b/>
                <w:color w:themeColor="text1" w:val="000000"/>
              </w:rPr>
              <w:t>Zespół</w:t>
            </w:r>
          </w:p>
        </w:tc>
        <w:tc>
          <w:tcPr>
            <w:tcW w:type="dxa" w:w="6400"/>
          </w:tcPr>
          <w:p>
            <w:pPr>
              <w:pStyle w:val="NormalWeb"/>
              <w:spacing w:before="40" w:after="40"/>
              <w:jc w:val="left"/>
              <w:rPr>
                <w:color w:themeColor="text1" w:val="000000"/>
              </w:rPr>
            </w:pPr>
            <w:r>
              <w:rPr>
                <w:color w:themeColor="text1" w:val="000000"/>
              </w:rPr>
              <w:t>2 osoby, obie prowadzą zajęcia i łączą role merytoryczne z organizacyjnymi</w:t>
            </w:r>
          </w:p>
        </w:tc>
      </w:tr>
      <w:tr>
        <w:tc>
          <w:tcPr>
            <w:tcW w:type="dxa" w:w="2600"/>
          </w:tcPr>
          <w:p>
            <w:pPr>
              <w:pStyle w:val="NormalWeb"/>
              <w:spacing w:before="40" w:after="40"/>
              <w:jc w:val="left"/>
              <w:rPr>
                <w:b/>
                <w:color w:themeColor="text1" w:val="000000"/>
              </w:rPr>
            </w:pPr>
            <w:r>
              <w:rPr>
                <w:b/>
                <w:color w:themeColor="text1" w:val="000000"/>
              </w:rPr>
              <w:t>Grupa docelowa</w:t>
            </w:r>
          </w:p>
        </w:tc>
        <w:tc>
          <w:tcPr>
            <w:tcW w:type="dxa" w:w="6400"/>
          </w:tcPr>
          <w:p>
            <w:pPr>
              <w:pStyle w:val="NormalWeb"/>
              <w:spacing w:before="40" w:after="40"/>
              <w:jc w:val="left"/>
              <w:rPr>
                <w:color w:themeColor="text1" w:val="000000"/>
              </w:rPr>
            </w:pPr>
            <w:r>
              <w:rPr>
                <w:color w:themeColor="text1" w:val="000000"/>
              </w:rPr>
              <w:t>Dzieci i młodzież 5–19 lat, pięć grup wiekowych w dwóch ścieżkach</w:t>
            </w:r>
          </w:p>
        </w:tc>
      </w:tr>
      <w:tr>
        <w:tc>
          <w:tcPr>
            <w:tcW w:type="dxa" w:w="2600"/>
          </w:tcPr>
          <w:p>
            <w:pPr>
              <w:pStyle w:val="NormalWeb"/>
              <w:spacing w:before="40" w:after="40"/>
              <w:jc w:val="left"/>
              <w:rPr>
                <w:b/>
                <w:color w:themeColor="text1" w:val="000000"/>
              </w:rPr>
            </w:pPr>
            <w:r>
              <w:rPr>
                <w:b/>
                <w:color w:themeColor="text1" w:val="000000"/>
              </w:rPr>
              <w:t>Wnioskowana kwota</w:t>
            </w:r>
          </w:p>
        </w:tc>
        <w:tc>
          <w:tcPr>
            <w:tcW w:type="dxa" w:w="6400"/>
          </w:tcPr>
          <w:p>
            <w:pPr>
              <w:pStyle w:val="NormalWeb"/>
              <w:spacing w:before="40" w:after="40"/>
              <w:jc w:val="left"/>
              <w:rPr>
                <w:color w:themeColor="text1" w:val="000000"/>
              </w:rPr>
            </w:pPr>
            <w:r>
              <w:rPr>
                <w:color w:themeColor="text1" w:val="000000"/>
              </w:rPr>
              <w:t>do 120 000 zł (wariant rekomendowany), do potwierdzenia z regulaminem naboru</w:t>
            </w:r>
          </w:p>
        </w:tc>
      </w:tr>
    </w:tbl>
    <w:p>
      <w:pPr>
        <w:pStyle w:val="NormalWeb"/>
        <w:rPr>
          <w:color w:themeColor="text1" w:val="000000"/>
        </w:rPr>
      </w:pPr>
      <w:r>
        <w:rPr>
          <w:color w:themeColor="text1" w:val="000000"/>
        </w:rPr>
        <w:t/>
      </w:r>
    </w:p>
    <w:p>
      <w:pPr>
        <w:pStyle w:val="Heading1"/>
        <w:rPr>
          <w:rFonts w:eastAsia="Times New Roman"/>
          <w:color w:themeColor="text1" w:val="000000"/>
        </w:rPr>
      </w:pPr>
      <w:r>
        <w:rPr>
          <w:rFonts w:eastAsia="Times New Roman"/>
          <w:color w:themeColor="text1" w:val="000000"/>
        </w:rPr>
        <w:t>2. Istota przedsięwzięcia</w:t>
      </w:r>
    </w:p>
    <w:p>
      <w:pPr>
        <w:pStyle w:val="NormalWeb"/>
        <w:rPr>
          <w:color w:themeColor="text1" w:val="000000"/>
        </w:rPr>
      </w:pPr>
      <w:r>
        <w:rPr>
          <w:color w:themeColor="text1" w:val="000000"/>
        </w:rPr>
        <w:t>Skills Academy to centrum zajęć dodatkowych, w którym język angielski jest narzędziem działania, a nie przedmiotem nauki. Program opiera się na dwóch obowiązkowych filarach: Useful Skills (praktyczne umiejętności codzienne, gotowanie, majsterkowanie, szycie, organizacja) oraz Life Skills (schematy postępowania w realnych sytuacjach, wzywanie pomocy, bezpieczeństwo cyfrowe, krytyczna ocena treści generowanych przez AI). Uzupełniają je cztery fakultety wybierane według zainteresowań: Music, Art, Acting i Motion Skills.</w:t>
      </w:r>
    </w:p>
    <w:p>
      <w:pPr>
        <w:pStyle w:val="NormalWeb"/>
        <w:rPr>
          <w:color w:themeColor="text1" w:val="000000"/>
        </w:rPr>
      </w:pPr>
      <w:r>
        <w:rPr>
          <w:color w:themeColor="text1" w:val="000000"/>
        </w:rPr>
        <w:t>Wszystkie zajęcia prowadzone są wyłącznie w języku angielskim.</w:t>
      </w:r>
    </w:p>
    <w:p>
      <w:pPr>
        <w:pStyle w:val="NormalWeb"/>
        <w:rPr>
          <w:color w:themeColor="text1" w:val="000000"/>
        </w:rPr>
      </w:pPr>
      <w:r>
        <w:rPr>
          <w:color w:themeColor="text1" w:val="000000"/>
        </w:rPr>
        <w:t>Oferta dzieli się na dwie ścieżki:</w:t>
      </w:r>
    </w:p>
    <w:p>
      <w:pPr>
        <w:pStyle w:val="NormalWeb"/>
        <w:numPr>
          <w:ilvl w:val="0"/>
          <w:numId w:val="87"/>
        </w:numPr>
        <w:jc w:val="left"/>
        <w:rPr>
          <w:color w:themeColor="text1" w:val="000000"/>
        </w:rPr>
      </w:pPr>
      <w:r>
        <w:rPr>
          <w:color w:themeColor="text1" w:val="000000"/>
        </w:rPr>
        <w:t>Kids (5–12 lat) i Teens Junior (13–15 lat): pełny model filarowy — dwa filary zajęć podstawowych oraz fakultety</w:t>
      </w:r>
    </w:p>
    <w:p>
      <w:pPr>
        <w:pStyle w:val="NormalWeb"/>
        <w:numPr>
          <w:ilvl w:val="0"/>
          <w:numId w:val="87"/>
        </w:numPr>
        <w:jc w:val="left"/>
        <w:rPr>
          <w:color w:themeColor="text1" w:val="000000"/>
        </w:rPr>
      </w:pPr>
      <w:r>
        <w:rPr>
          <w:color w:themeColor="text1" w:val="000000"/>
        </w:rPr>
        <w:t>Teens Senior (16–19 lat): odrębna oferta przygotowania do matury, poza modelem filarowym</w:t>
      </w:r>
    </w:p>
    <w:p>
      <w:pPr>
        <w:pStyle w:val="NormalWeb"/>
        <w:numPr>
          <w:ilvl w:val="0"/>
          <w:numId w:val="87"/>
        </w:numPr>
        <w:jc w:val="left"/>
        <w:rPr>
          <w:color w:themeColor="text1" w:val="000000"/>
        </w:rPr>
      </w:pPr>
      <w:r>
        <w:rPr>
          <w:color w:themeColor="text1" w:val="000000"/>
        </w:rPr>
        <w:t>Exams (przygotowanie do egzaminu ósmoklasisty): oferta poza zajęciami podstawowymi, kupowana osobno, także przez osoby spoza centrum; uczestnicy karnetu mają zniżkę 5–10%. Rozważanym dodatkiem jest przygotowanie z matematyki na tych samych zasadach, z decyzją po pierwszym sezonie</w:t>
      </w:r>
    </w:p>
    <w:p>
      <w:pPr>
        <w:pStyle w:val="NormalWeb"/>
        <w:rPr>
          <w:color w:themeColor="text1" w:val="000000"/>
        </w:rPr>
      </w:pPr>
      <w:r>
        <w:rPr>
          <w:color w:themeColor="text1" w:val="000000"/>
        </w:rPr>
        <w:t>Uzupełniająco funkcjonuje szkoła amerykańska online: konwersacje z lektorami będącymi rodzimymi użytkownikami języka, prowadzone zdalnie, bez potrzeby dodatkowej powierzchni.</w:t>
      </w:r>
    </w:p>
    <w:p>
      <w:pPr>
        <w:pStyle w:val="Heading1"/>
        <w:rPr>
          <w:rFonts w:eastAsia="Times New Roman"/>
          <w:color w:themeColor="text1" w:val="000000"/>
        </w:rPr>
      </w:pPr>
      <w:r>
        <w:rPr>
          <w:rFonts w:eastAsia="Times New Roman"/>
          <w:color w:themeColor="text1" w:val="000000"/>
        </w:rPr>
        <w:t>3. Uzasadnienie rynkowe</w:t>
      </w:r>
    </w:p>
    <w:p>
      <w:pPr>
        <w:pStyle w:val="NormalWeb"/>
        <w:rPr>
          <w:color w:themeColor="text1" w:val="000000"/>
        </w:rPr>
      </w:pPr>
      <w:r>
        <w:rPr>
          <w:color w:themeColor="text1" w:val="000000"/>
        </w:rPr>
        <w:t>Projekt odpowiada na udokumentowany popyt:</w:t>
      </w:r>
    </w:p>
    <w:p>
      <w:pPr>
        <w:pStyle w:val="NormalWeb"/>
        <w:numPr>
          <w:ilvl w:val="0"/>
          <w:numId w:val="87"/>
        </w:numPr>
        <w:jc w:val="left"/>
        <w:rPr>
          <w:color w:themeColor="text1" w:val="000000"/>
        </w:rPr>
      </w:pPr>
      <w:r>
        <w:rPr>
          <w:color w:themeColor="text1" w:val="000000"/>
        </w:rPr>
        <w:t>Egzamin ósmoklasisty: język angielski wybrało 98,6% zdających (dane CKE, termin główny 2026). Exams trafia w niemal całą populację uczniów kończących szkołę podstawową</w:t>
      </w:r>
    </w:p>
    <w:p>
      <w:pPr>
        <w:pStyle w:val="NormalWeb"/>
        <w:numPr>
          <w:ilvl w:val="0"/>
          <w:numId w:val="87"/>
        </w:numPr>
        <w:jc w:val="left"/>
        <w:rPr>
          <w:color w:themeColor="text1" w:val="000000"/>
        </w:rPr>
      </w:pPr>
      <w:r>
        <w:rPr>
          <w:color w:themeColor="text1" w:val="000000"/>
        </w:rPr>
        <w:t>Matura: angielski jest obowiązkowym przedmiotem podstawowym, a rozszerzenie z angielskiego to najczęściej wybierany przedmiot dodatkowy w kraju</w:t>
      </w:r>
    </w:p>
    <w:p>
      <w:pPr>
        <w:pStyle w:val="NormalWeb"/>
        <w:numPr>
          <w:ilvl w:val="0"/>
          <w:numId w:val="87"/>
        </w:numPr>
        <w:jc w:val="left"/>
        <w:rPr>
          <w:color w:themeColor="text1" w:val="000000"/>
        </w:rPr>
      </w:pPr>
      <w:r>
        <w:rPr>
          <w:color w:themeColor="text1" w:val="000000"/>
        </w:rPr>
        <w:t>Trend edukacyjny: program oparty na rekomendacjach OECD, UNESCO, UNICEF, WHO i EEF (pełne cytowania w aneksie naukowym biznesplanu)</w:t>
      </w:r>
    </w:p>
    <w:p>
      <w:pPr>
        <w:pStyle w:val="NormalWeb"/>
        <w:rPr>
          <w:color w:themeColor="text1" w:val="000000"/>
        </w:rPr>
      </w:pPr>
      <w:r>
        <w:rPr>
          <w:color w:themeColor="text1" w:val="000000"/>
        </w:rPr>
        <w:t>Analiza konkurencji (Rozdz. 6) obejmuje cztery warstwy otoczenia rynkowego: konkurencję lokalną bezpośrednią (PEAR, Lollipop, Akcent, Akademia Bystrzak, Mały Inżynier), lokalną pośrednią (SAIL International School wraz z ofertą zajęć popołudniowych), ogólnopolską konkurencję online oraz międzynarodowe modele franczyzowe.</w:t>
      </w:r>
    </w:p>
    <w:p>
      <w:pPr>
        <w:pStyle w:val="NormalWeb"/>
        <w:rPr>
          <w:color w:themeColor="text1" w:val="000000"/>
        </w:rPr>
      </w:pPr>
      <w:r>
        <w:rPr>
          <w:color w:themeColor="text1" w:val="000000"/>
        </w:rPr>
        <w:t>Trzy ustalenia istotne dla oceny projektu:</w:t>
      </w:r>
    </w:p>
    <w:p>
      <w:pPr>
        <w:pStyle w:val="NormalWeb"/>
        <w:numPr>
          <w:ilvl w:val="0"/>
          <w:numId w:val="87"/>
        </w:numPr>
        <w:jc w:val="left"/>
        <w:rPr>
          <w:color w:themeColor="text1" w:val="000000"/>
        </w:rPr>
      </w:pPr>
      <w:r>
        <w:rPr>
          <w:color w:themeColor="text1" w:val="000000"/>
        </w:rPr>
        <w:t>Przewaga nie polega na wyłączności w pojedynczym obszarze. Przygotowanie do matury i egzaminu ósmoklasisty oraz edukacja medialna są już obecne w ofercie części konkurencji; wyróżnikiem jest połączenie kompetencji praktycznych i życiowych z językiem w jednym, obowiązkowym module zajęć podstawowych.</w:t>
      </w:r>
    </w:p>
    <w:p>
      <w:pPr>
        <w:pStyle w:val="NormalWeb"/>
        <w:numPr>
          <w:ilvl w:val="0"/>
          <w:numId w:val="87"/>
        </w:numPr>
        <w:jc w:val="left"/>
        <w:rPr>
          <w:color w:themeColor="text1" w:val="000000"/>
        </w:rPr>
      </w:pPr>
      <w:r>
        <w:rPr>
          <w:color w:themeColor="text1" w:val="000000"/>
        </w:rPr>
        <w:t>Model ma walidację międzynarodową. Analogiczne rozwiązanie, język angielski jako narzędzie warsztatów kulinarnych, teatralnych i sportowych, funkcjonuje w ponad 700 placówkach i obejmuje ponad 190 tysięcy uczestników w kilku krajach europejskich, nie jest jednak obecne w Polsce. Projekt ma zatem charakter innowacji wdrożeniowej, a nie eksperymentu.</w:t>
      </w:r>
    </w:p>
    <w:p>
      <w:pPr>
        <w:pStyle w:val="NormalWeb"/>
        <w:numPr>
          <w:ilvl w:val="0"/>
          <w:numId w:val="87"/>
        </w:numPr>
        <w:jc w:val="left"/>
        <w:rPr>
          <w:color w:themeColor="text1" w:val="000000"/>
        </w:rPr>
      </w:pPr>
      <w:r>
        <w:rPr>
          <w:color w:themeColor="text1" w:val="000000"/>
        </w:rPr>
        <w:t>Oferta online wypełnia zidentyfikowaną lukę. Wiodące ogólnopolskie szkoły językowe online świadomie rezygnują z zajęć grupowych na rzecz wyłącznie indywidualnych, grupowe zajęcia z rodzimym użytkownikiem języka pozostają obszarem słabo obsłużonym.</w:t>
      </w:r>
    </w:p>
    <w:p>
      <w:pPr>
        <w:pStyle w:val="Heading1"/>
        <w:rPr>
          <w:rFonts w:eastAsia="Times New Roman"/>
          <w:color w:themeColor="text1" w:val="000000"/>
        </w:rPr>
      </w:pPr>
      <w:r>
        <w:rPr>
          <w:rFonts w:eastAsia="Times New Roman"/>
          <w:color w:themeColor="text1" w:val="000000"/>
        </w:rPr>
        <w:t>4. Model finansowy (wariant ostrożny)</w:t>
      </w:r>
    </w:p>
    <w:p>
      <w:pPr>
        <w:pStyle w:val="NormalWeb"/>
        <w:rPr>
          <w:color w:themeColor="text1" w:val="000000"/>
        </w:rPr>
      </w:pPr>
      <w:r>
        <w:rPr>
          <w:color w:themeColor="text1" w:val="000000"/>
        </w:rPr>
        <w:t>Prognoza została przygotowana w wariancie ostrożnym i osadzona w zweryfikowanych realiach cenowych Szczecina.</w:t>
      </w:r>
    </w:p>
    <w:p>
      <w:pPr>
        <w:pStyle w:val="Heading2"/>
        <w:rPr>
          <w:rFonts w:eastAsia="Times New Roman"/>
          <w:color w:themeColor="text1" w:val="000000"/>
        </w:rPr>
      </w:pPr>
      <w:r>
        <w:rPr>
          <w:rFonts w:eastAsia="Times New Roman"/>
          <w:color w:themeColor="text1" w:val="000000"/>
        </w:rPr>
        <w:t>Benchmark cenowy</w:t>
      </w:r>
    </w:p>
    <w:tbl>
      <w:tblPr>
        <w:tblW w:type="dxa" w:w="9000"/>
        <w:tblBorders>
          <w:top w:val="single" w:sz="4" w:space="0" w:color="BFBFBF"/>
          <w:left w:val="none" w:sz="0" w:space="0" w:color="auto"/>
          <w:bottom w:val="single" w:sz="4" w:space="0" w:color="BFBFBF"/>
          <w:right w:val="none" w:sz="0" w:space="0" w:color="auto"/>
          <w:insideH w:val="single" w:sz="4" w:space="0" w:color="D9D9D9"/>
          <w:insideV w:val="none" w:sz="0" w:space="0" w:color="auto"/>
        </w:tblBorders>
      </w:tblPr>
      <w:tblGrid>
        <w:gridCol w:w="6000"/>
        <w:gridCol w:w="3000"/>
      </w:tblGrid>
      <w:tr>
        <w:tc>
          <w:tcPr>
            <w:tcW w:type="dxa" w:w="6000"/>
          </w:tcPr>
          <w:p>
            <w:pPr>
              <w:pStyle w:val="NormalWeb"/>
              <w:spacing w:before="40" w:after="40"/>
              <w:jc w:val="left"/>
              <w:rPr>
                <w:b/>
                <w:color w:themeColor="text1" w:val="000000"/>
              </w:rPr>
            </w:pPr>
            <w:r>
              <w:rPr>
                <w:b/>
                <w:color w:themeColor="text1" w:val="000000"/>
              </w:rPr>
              <w:t>Oferta rynkowa</w:t>
            </w:r>
          </w:p>
        </w:tc>
        <w:tc>
          <w:tcPr>
            <w:tcW w:type="dxa" w:w="3000"/>
          </w:tcPr>
          <w:p>
            <w:pPr>
              <w:pStyle w:val="NormalWeb"/>
              <w:spacing w:before="40" w:after="40"/>
              <w:jc w:val="left"/>
              <w:rPr>
                <w:b/>
                <w:color w:themeColor="text1" w:val="000000"/>
              </w:rPr>
            </w:pPr>
            <w:r>
              <w:rPr>
                <w:b/>
                <w:color w:themeColor="text1" w:val="000000"/>
              </w:rPr>
              <w:t>Cena miesięczna</w:t>
            </w:r>
          </w:p>
        </w:tc>
      </w:tr>
      <w:tr>
        <w:tc>
          <w:tcPr>
            <w:tcW w:type="dxa" w:w="6000"/>
          </w:tcPr>
          <w:p>
            <w:pPr>
              <w:pStyle w:val="NormalWeb"/>
              <w:spacing w:before="40" w:after="40"/>
              <w:jc w:val="left"/>
              <w:rPr>
                <w:color w:themeColor="text1" w:val="000000"/>
              </w:rPr>
            </w:pPr>
            <w:r>
              <w:rPr>
                <w:color w:themeColor="text1" w:val="000000"/>
              </w:rPr>
              <w:t>Grupowe zajęcia językowe (konkurencja bezpośrednia)</w:t>
            </w:r>
          </w:p>
        </w:tc>
        <w:tc>
          <w:tcPr>
            <w:tcW w:type="dxa" w:w="3000"/>
          </w:tcPr>
          <w:p>
            <w:pPr>
              <w:pStyle w:val="NormalWeb"/>
              <w:spacing w:before="40" w:after="40"/>
              <w:jc w:val="left"/>
              <w:rPr>
                <w:color w:themeColor="text1" w:val="000000"/>
              </w:rPr>
            </w:pPr>
            <w:r>
              <w:rPr>
                <w:color w:themeColor="text1" w:val="000000"/>
              </w:rPr>
              <w:t>ok. 150 zł</w:t>
            </w:r>
          </w:p>
        </w:tc>
      </w:tr>
      <w:tr>
        <w:tc>
          <w:tcPr>
            <w:tcW w:type="dxa" w:w="6000"/>
          </w:tcPr>
          <w:p>
            <w:pPr>
              <w:pStyle w:val="NormalWeb"/>
              <w:spacing w:before="40" w:after="40"/>
              <w:jc w:val="left"/>
              <w:rPr>
                <w:color w:themeColor="text1" w:val="000000"/>
              </w:rPr>
            </w:pPr>
            <w:r>
              <w:rPr>
                <w:color w:themeColor="text1" w:val="000000"/>
              </w:rPr>
              <w:t>Zajęcia premium z nowych technologii (grupy 8-os., 1×/tyg.)</w:t>
            </w:r>
          </w:p>
        </w:tc>
        <w:tc>
          <w:tcPr>
            <w:tcW w:type="dxa" w:w="3000"/>
          </w:tcPr>
          <w:p>
            <w:pPr>
              <w:pStyle w:val="NormalWeb"/>
              <w:spacing w:before="40" w:after="40"/>
              <w:jc w:val="left"/>
              <w:rPr>
                <w:color w:themeColor="text1" w:val="000000"/>
              </w:rPr>
            </w:pPr>
            <w:r>
              <w:rPr>
                <w:color w:themeColor="text1" w:val="000000"/>
              </w:rPr>
              <w:t>ok. 210–260 zł</w:t>
            </w:r>
          </w:p>
        </w:tc>
      </w:tr>
      <w:tr>
        <w:tc>
          <w:tcPr>
            <w:tcW w:type="dxa" w:w="6000"/>
          </w:tcPr>
          <w:p>
            <w:pPr>
              <w:pStyle w:val="NormalWeb"/>
              <w:spacing w:before="40" w:after="40"/>
              <w:jc w:val="left"/>
              <w:rPr>
                <w:b/>
                <w:color w:themeColor="text1" w:val="000000"/>
              </w:rPr>
            </w:pPr>
            <w:r>
              <w:rPr>
                <w:b/>
                <w:color w:themeColor="text1" w:val="000000"/>
              </w:rPr>
              <w:t>Skills Academy, średnia ważona</w:t>
            </w:r>
          </w:p>
        </w:tc>
        <w:tc>
          <w:tcPr>
            <w:tcW w:type="dxa" w:w="3000"/>
          </w:tcPr>
          <w:p>
            <w:pPr>
              <w:pStyle w:val="NormalWeb"/>
              <w:spacing w:before="40" w:after="40"/>
              <w:jc w:val="left"/>
              <w:rPr>
                <w:b/>
                <w:color w:themeColor="text1" w:val="000000"/>
              </w:rPr>
            </w:pPr>
            <w:r>
              <w:rPr>
                <w:b/>
                <w:color w:themeColor="text1" w:val="000000"/>
              </w:rPr>
              <w:t>320 zł</w:t>
            </w:r>
          </w:p>
        </w:tc>
      </w:tr>
    </w:tbl>
    <w:p>
      <w:pPr>
        <w:pStyle w:val="NormalWeb"/>
        <w:rPr>
          <w:color w:themeColor="text1" w:val="000000"/>
        </w:rPr>
      </w:pPr>
      <w:r>
        <w:rPr>
          <w:color w:themeColor="text1" w:val="000000"/>
        </w:rPr>
        <w:t/>
      </w:r>
    </w:p>
    <w:p>
      <w:pPr>
        <w:pStyle w:val="NormalWeb"/>
        <w:rPr>
          <w:color w:themeColor="text1" w:val="000000"/>
        </w:rPr>
      </w:pPr>
      <w:r>
        <w:rPr>
          <w:color w:themeColor="text1" w:val="000000"/>
        </w:rPr>
        <w:t>Wyższa stawka wynika z szerszego zakresu: zajęcia podstawowe obejmują dwa filary realizowane dwa razy w tygodniu, a nie pojedyncze zajęcia językowe raz w tygodniu.</w:t>
      </w:r>
    </w:p>
    <w:p>
      <w:pPr>
        <w:pStyle w:val="Heading2"/>
        <w:rPr>
          <w:rFonts w:eastAsia="Times New Roman"/>
          <w:color w:themeColor="text1" w:val="000000"/>
        </w:rPr>
      </w:pPr>
      <w:r>
        <w:rPr>
          <w:rFonts w:eastAsia="Times New Roman"/>
          <w:color w:themeColor="text1" w:val="000000"/>
        </w:rPr>
        <w:t>Prognoza przychodu</w:t>
      </w:r>
    </w:p>
    <w:tbl>
      <w:tblPr>
        <w:tblW w:type="dxa" w:w="9000"/>
        <w:tblBorders>
          <w:top w:val="single" w:sz="4" w:space="0" w:color="BFBFBF"/>
          <w:left w:val="none" w:sz="0" w:space="0" w:color="auto"/>
          <w:bottom w:val="single" w:sz="4" w:space="0" w:color="BFBFBF"/>
          <w:right w:val="none" w:sz="0" w:space="0" w:color="auto"/>
          <w:insideH w:val="single" w:sz="4" w:space="0" w:color="D9D9D9"/>
          <w:insideV w:val="none" w:sz="0" w:space="0" w:color="auto"/>
        </w:tblBorders>
      </w:tblPr>
      <w:tblGrid>
        <w:gridCol w:w="3400"/>
        <w:gridCol w:w="1866"/>
        <w:gridCol w:w="1866"/>
        <w:gridCol w:w="1868"/>
      </w:tblGrid>
      <w:tr>
        <w:tc>
          <w:tcPr>
            <w:tcW w:type="dxa" w:w="3400"/>
          </w:tcPr>
          <w:p>
            <w:pPr>
              <w:pStyle w:val="NormalWeb"/>
              <w:spacing w:before="40" w:after="40"/>
              <w:jc w:val="left"/>
              <w:rPr>
                <w:b/>
                <w:color w:themeColor="text1" w:val="000000"/>
              </w:rPr>
            </w:pPr>
            <w:r>
              <w:rPr>
                <w:b/>
                <w:color w:themeColor="text1" w:val="000000"/>
              </w:rPr>
              <w:t>Źródło</w:t>
            </w:r>
          </w:p>
        </w:tc>
        <w:tc>
          <w:tcPr>
            <w:tcW w:type="dxa" w:w="1866"/>
          </w:tcPr>
          <w:p>
            <w:pPr>
              <w:pStyle w:val="NormalWeb"/>
              <w:spacing w:before="40" w:after="40"/>
              <w:jc w:val="left"/>
              <w:rPr>
                <w:b/>
                <w:color w:themeColor="text1" w:val="000000"/>
              </w:rPr>
            </w:pPr>
            <w:r>
              <w:rPr>
                <w:b/>
                <w:color w:themeColor="text1" w:val="000000"/>
              </w:rPr>
              <w:t>Rok 1</w:t>
            </w:r>
          </w:p>
        </w:tc>
        <w:tc>
          <w:tcPr>
            <w:tcW w:type="dxa" w:w="1866"/>
          </w:tcPr>
          <w:p>
            <w:pPr>
              <w:pStyle w:val="NormalWeb"/>
              <w:spacing w:before="40" w:after="40"/>
              <w:jc w:val="left"/>
              <w:rPr>
                <w:b/>
                <w:color w:themeColor="text1" w:val="000000"/>
              </w:rPr>
            </w:pPr>
            <w:r>
              <w:rPr>
                <w:b/>
                <w:color w:themeColor="text1" w:val="000000"/>
              </w:rPr>
              <w:t>Rok 2</w:t>
            </w:r>
          </w:p>
        </w:tc>
        <w:tc>
          <w:tcPr>
            <w:tcW w:type="dxa" w:w="1868"/>
          </w:tcPr>
          <w:p>
            <w:pPr>
              <w:pStyle w:val="NormalWeb"/>
              <w:spacing w:before="40" w:after="40"/>
              <w:jc w:val="left"/>
              <w:rPr>
                <w:b/>
                <w:color w:themeColor="text1" w:val="000000"/>
              </w:rPr>
            </w:pPr>
            <w:r>
              <w:rPr>
                <w:b/>
                <w:color w:themeColor="text1" w:val="000000"/>
              </w:rPr>
              <w:t>Rok 3</w:t>
            </w:r>
          </w:p>
        </w:tc>
      </w:tr>
      <w:tr>
        <w:tc>
          <w:tcPr>
            <w:tcW w:type="dxa" w:w="3400"/>
          </w:tcPr>
          <w:p>
            <w:pPr>
              <w:pStyle w:val="NormalWeb"/>
              <w:spacing w:before="40" w:after="40"/>
              <w:jc w:val="left"/>
              <w:rPr>
                <w:color w:themeColor="text1" w:val="000000"/>
              </w:rPr>
            </w:pPr>
            <w:r>
              <w:rPr>
                <w:color w:themeColor="text1" w:val="000000"/>
              </w:rPr>
              <w:t>Model główny (Kids + Teens Junior)</w:t>
            </w:r>
          </w:p>
        </w:tc>
        <w:tc>
          <w:tcPr>
            <w:tcW w:type="dxa" w:w="1866"/>
          </w:tcPr>
          <w:p>
            <w:pPr>
              <w:pStyle w:val="NormalWeb"/>
              <w:spacing w:before="40" w:after="40"/>
              <w:jc w:val="left"/>
              <w:rPr>
                <w:color w:themeColor="text1" w:val="000000"/>
              </w:rPr>
            </w:pPr>
            <w:r>
              <w:rPr>
                <w:color w:themeColor="text1" w:val="000000"/>
              </w:rPr>
              <w:t>128 000 zł</w:t>
            </w:r>
          </w:p>
        </w:tc>
        <w:tc>
          <w:tcPr>
            <w:tcW w:type="dxa" w:w="1866"/>
          </w:tcPr>
          <w:p>
            <w:pPr>
              <w:pStyle w:val="NormalWeb"/>
              <w:spacing w:before="40" w:after="40"/>
              <w:jc w:val="left"/>
              <w:rPr>
                <w:color w:themeColor="text1" w:val="000000"/>
              </w:rPr>
            </w:pPr>
            <w:r>
              <w:rPr>
                <w:color w:themeColor="text1" w:val="000000"/>
              </w:rPr>
              <w:t>230 400 zł</w:t>
            </w:r>
          </w:p>
        </w:tc>
        <w:tc>
          <w:tcPr>
            <w:tcW w:type="dxa" w:w="1868"/>
          </w:tcPr>
          <w:p>
            <w:pPr>
              <w:pStyle w:val="NormalWeb"/>
              <w:spacing w:before="40" w:after="40"/>
              <w:jc w:val="left"/>
              <w:rPr>
                <w:color w:themeColor="text1" w:val="000000"/>
              </w:rPr>
            </w:pPr>
            <w:r>
              <w:rPr>
                <w:color w:themeColor="text1" w:val="000000"/>
              </w:rPr>
              <w:t>307 200 zł</w:t>
            </w:r>
          </w:p>
        </w:tc>
      </w:tr>
      <w:tr>
        <w:tc>
          <w:tcPr>
            <w:tcW w:type="dxa" w:w="3400"/>
          </w:tcPr>
          <w:p>
            <w:pPr>
              <w:pStyle w:val="NormalWeb"/>
              <w:spacing w:before="40" w:after="40"/>
              <w:jc w:val="left"/>
              <w:rPr>
                <w:color w:themeColor="text1" w:val="000000"/>
              </w:rPr>
            </w:pPr>
            <w:r>
              <w:rPr>
                <w:color w:themeColor="text1" w:val="000000"/>
              </w:rPr>
              <w:t>Teens Senior (matura)</w:t>
            </w:r>
          </w:p>
        </w:tc>
        <w:tc>
          <w:tcPr>
            <w:tcW w:type="dxa" w:w="1866"/>
          </w:tcPr>
          <w:p>
            <w:pPr>
              <w:pStyle w:val="NormalWeb"/>
              <w:spacing w:before="40" w:after="40"/>
              <w:jc w:val="left"/>
              <w:rPr>
                <w:color w:themeColor="text1" w:val="000000"/>
              </w:rPr>
            </w:pPr>
            <w:r>
              <w:rPr>
                <w:color w:themeColor="text1" w:val="000000"/>
              </w:rPr>
              <w:t>48 000 zł</w:t>
            </w:r>
          </w:p>
        </w:tc>
        <w:tc>
          <w:tcPr>
            <w:tcW w:type="dxa" w:w="1866"/>
          </w:tcPr>
          <w:p>
            <w:pPr>
              <w:pStyle w:val="NormalWeb"/>
              <w:spacing w:before="40" w:after="40"/>
              <w:jc w:val="left"/>
              <w:rPr>
                <w:color w:themeColor="text1" w:val="000000"/>
              </w:rPr>
            </w:pPr>
            <w:r>
              <w:rPr>
                <w:color w:themeColor="text1" w:val="000000"/>
              </w:rPr>
              <w:t>72 000 zł</w:t>
            </w:r>
          </w:p>
        </w:tc>
        <w:tc>
          <w:tcPr>
            <w:tcW w:type="dxa" w:w="1868"/>
          </w:tcPr>
          <w:p>
            <w:pPr>
              <w:pStyle w:val="NormalWeb"/>
              <w:spacing w:before="40" w:after="40"/>
              <w:jc w:val="left"/>
              <w:rPr>
                <w:color w:themeColor="text1" w:val="000000"/>
              </w:rPr>
            </w:pPr>
            <w:r>
              <w:rPr>
                <w:color w:themeColor="text1" w:val="000000"/>
              </w:rPr>
              <w:t>96 000 zł</w:t>
            </w:r>
          </w:p>
        </w:tc>
      </w:tr>
      <w:tr>
        <w:tc>
          <w:tcPr>
            <w:tcW w:type="dxa" w:w="3400"/>
          </w:tcPr>
          <w:p>
            <w:pPr>
              <w:pStyle w:val="NormalWeb"/>
              <w:spacing w:before="40" w:after="40"/>
              <w:jc w:val="left"/>
              <w:rPr>
                <w:color w:themeColor="text1" w:val="000000"/>
              </w:rPr>
            </w:pPr>
            <w:r>
              <w:rPr>
                <w:color w:themeColor="text1" w:val="000000"/>
              </w:rPr>
              <w:t>Szkoła amerykańska online</w:t>
            </w:r>
          </w:p>
        </w:tc>
        <w:tc>
          <w:tcPr>
            <w:tcW w:type="dxa" w:w="1866"/>
          </w:tcPr>
          <w:p>
            <w:pPr>
              <w:pStyle w:val="NormalWeb"/>
              <w:spacing w:before="40" w:after="40"/>
              <w:jc w:val="left"/>
              <w:rPr>
                <w:color w:themeColor="text1" w:val="000000"/>
              </w:rPr>
            </w:pPr>
            <w:r>
              <w:rPr>
                <w:color w:themeColor="text1" w:val="000000"/>
              </w:rPr>
              <w:t>16 000 zł</w:t>
            </w:r>
          </w:p>
        </w:tc>
        <w:tc>
          <w:tcPr>
            <w:tcW w:type="dxa" w:w="1866"/>
          </w:tcPr>
          <w:p>
            <w:pPr>
              <w:pStyle w:val="NormalWeb"/>
              <w:spacing w:before="40" w:after="40"/>
              <w:jc w:val="left"/>
              <w:rPr>
                <w:color w:themeColor="text1" w:val="000000"/>
              </w:rPr>
            </w:pPr>
            <w:r>
              <w:rPr>
                <w:color w:themeColor="text1" w:val="000000"/>
              </w:rPr>
              <w:t>40 000 zł</w:t>
            </w:r>
          </w:p>
        </w:tc>
        <w:tc>
          <w:tcPr>
            <w:tcW w:type="dxa" w:w="1868"/>
          </w:tcPr>
          <w:p>
            <w:pPr>
              <w:pStyle w:val="NormalWeb"/>
              <w:spacing w:before="40" w:after="40"/>
              <w:jc w:val="left"/>
              <w:rPr>
                <w:color w:themeColor="text1" w:val="000000"/>
              </w:rPr>
            </w:pPr>
            <w:r>
              <w:rPr>
                <w:color w:themeColor="text1" w:val="000000"/>
              </w:rPr>
              <w:t>60 000 zł</w:t>
            </w:r>
          </w:p>
        </w:tc>
      </w:tr>
      <w:tr>
        <w:tc>
          <w:tcPr>
            <w:tcW w:type="dxa" w:w="3400"/>
          </w:tcPr>
          <w:p>
            <w:pPr>
              <w:pStyle w:val="NormalWeb"/>
              <w:spacing w:before="40" w:after="40"/>
              <w:jc w:val="left"/>
              <w:rPr>
                <w:b/>
                <w:color w:themeColor="text1" w:val="000000"/>
              </w:rPr>
            </w:pPr>
            <w:r>
              <w:rPr>
                <w:b/>
                <w:color w:themeColor="text1" w:val="000000"/>
              </w:rPr>
              <w:t>Razem</w:t>
            </w:r>
          </w:p>
        </w:tc>
        <w:tc>
          <w:tcPr>
            <w:tcW w:type="dxa" w:w="1866"/>
          </w:tcPr>
          <w:p>
            <w:pPr>
              <w:pStyle w:val="NormalWeb"/>
              <w:spacing w:before="40" w:after="40"/>
              <w:jc w:val="left"/>
              <w:rPr>
                <w:b/>
                <w:color w:themeColor="text1" w:val="000000"/>
              </w:rPr>
            </w:pPr>
            <w:r>
              <w:rPr>
                <w:b/>
                <w:color w:themeColor="text1" w:val="000000"/>
              </w:rPr>
              <w:t>192 000 zł</w:t>
            </w:r>
          </w:p>
        </w:tc>
        <w:tc>
          <w:tcPr>
            <w:tcW w:type="dxa" w:w="1866"/>
          </w:tcPr>
          <w:p>
            <w:pPr>
              <w:pStyle w:val="NormalWeb"/>
              <w:spacing w:before="40" w:after="40"/>
              <w:jc w:val="left"/>
              <w:rPr>
                <w:b/>
                <w:color w:themeColor="text1" w:val="000000"/>
              </w:rPr>
            </w:pPr>
            <w:r>
              <w:rPr>
                <w:b/>
                <w:color w:themeColor="text1" w:val="000000"/>
              </w:rPr>
              <w:t>342 400 zł</w:t>
            </w:r>
          </w:p>
        </w:tc>
        <w:tc>
          <w:tcPr>
            <w:tcW w:type="dxa" w:w="1868"/>
          </w:tcPr>
          <w:p>
            <w:pPr>
              <w:pStyle w:val="NormalWeb"/>
              <w:spacing w:before="40" w:after="40"/>
              <w:jc w:val="left"/>
              <w:rPr>
                <w:b/>
                <w:color w:themeColor="text1" w:val="000000"/>
              </w:rPr>
            </w:pPr>
            <w:r>
              <w:rPr>
                <w:b/>
                <w:color w:themeColor="text1" w:val="000000"/>
              </w:rPr>
              <w:t>463 200 zł</w:t>
            </w:r>
          </w:p>
        </w:tc>
      </w:tr>
    </w:tbl>
    <w:p>
      <w:pPr>
        <w:pStyle w:val="NormalWeb"/>
        <w:rPr>
          <w:color w:themeColor="text1" w:val="000000"/>
        </w:rPr>
      </w:pPr>
      <w:r>
        <w:rPr>
          <w:color w:themeColor="text1" w:val="000000"/>
        </w:rPr>
        <w:t/>
      </w:r>
    </w:p>
    <w:p>
      <w:pPr>
        <w:pStyle w:val="Heading2"/>
        <w:rPr>
          <w:rFonts w:eastAsia="Times New Roman"/>
          <w:color w:themeColor="text1" w:val="000000"/>
        </w:rPr>
      </w:pPr>
      <w:r>
        <w:rPr>
          <w:rFonts w:eastAsia="Times New Roman"/>
          <w:color w:themeColor="text1" w:val="000000"/>
        </w:rPr>
        <w:t>Wariant alternatywny — stawka wyrównana z konkurencją</w:t>
      </w:r>
    </w:p>
    <w:p>
      <w:pPr>
        <w:pStyle w:val="NormalWeb"/>
        <w:rPr>
          <w:color w:themeColor="text1" w:val="000000"/>
        </w:rPr>
      </w:pPr>
      <w:r>
        <w:rPr>
          <w:color w:themeColor="text1" w:val="000000"/>
        </w:rPr>
        <w:t>Plan zawiera drugi scenariusz cenowy, w którym stawki zostają obniżone do poziomu zbliżonego do oferty konkurencyjnej (zajęcia podstawowe 200 zł, średnia ważona 220 zł, Teens Senior 300 zł, szkoła amerykańska online 150 zł). Służy on jako test odporności przedsięwzięcia oraz jako opcja zabezpieczająca na wypadek wolniejszego tempa naborów.</w:t>
      </w:r>
    </w:p>
    <w:tbl>
      <w:tblPr>
        <w:tblW w:type="dxa" w:w="9000"/>
        <w:tblBorders>
          <w:top w:val="single" w:sz="4" w:space="0" w:color="BFBFBF"/>
          <w:left w:val="none" w:sz="0" w:space="0" w:color="auto"/>
          <w:bottom w:val="single" w:sz="4" w:space="0" w:color="BFBFBF"/>
          <w:right w:val="none" w:sz="0" w:space="0" w:color="auto"/>
          <w:insideH w:val="single" w:sz="4" w:space="0" w:color="D9D9D9"/>
          <w:insideV w:val="none" w:sz="0" w:space="0" w:color="auto"/>
        </w:tblBorders>
      </w:tblPr>
      <w:tblGrid>
        <w:gridCol w:w="3400"/>
        <w:gridCol w:w="1866"/>
        <w:gridCol w:w="1866"/>
        <w:gridCol w:w="1868"/>
      </w:tblGrid>
      <w:tr>
        <w:tc>
          <w:tcPr>
            <w:tcW w:type="dxa" w:w="3400"/>
          </w:tcPr>
          <w:p>
            <w:pPr>
              <w:pStyle w:val="NormalWeb"/>
              <w:spacing w:before="40" w:after="40"/>
              <w:jc w:val="left"/>
              <w:rPr>
                <w:b/>
                <w:color w:themeColor="text1" w:val="000000"/>
              </w:rPr>
            </w:pPr>
            <w:r>
              <w:rPr>
                <w:b/>
                <w:color w:themeColor="text1" w:val="000000"/>
              </w:rPr>
              <w:t>Wariant</w:t>
            </w:r>
          </w:p>
        </w:tc>
        <w:tc>
          <w:tcPr>
            <w:tcW w:type="dxa" w:w="1866"/>
          </w:tcPr>
          <w:p>
            <w:pPr>
              <w:pStyle w:val="NormalWeb"/>
              <w:spacing w:before="40" w:after="40"/>
              <w:jc w:val="left"/>
              <w:rPr>
                <w:b/>
                <w:color w:themeColor="text1" w:val="000000"/>
              </w:rPr>
            </w:pPr>
            <w:r>
              <w:rPr>
                <w:b/>
                <w:color w:themeColor="text1" w:val="000000"/>
              </w:rPr>
              <w:t>Rok 1</w:t>
            </w:r>
          </w:p>
        </w:tc>
        <w:tc>
          <w:tcPr>
            <w:tcW w:type="dxa" w:w="1866"/>
          </w:tcPr>
          <w:p>
            <w:pPr>
              <w:pStyle w:val="NormalWeb"/>
              <w:spacing w:before="40" w:after="40"/>
              <w:jc w:val="left"/>
              <w:rPr>
                <w:b/>
                <w:color w:themeColor="text1" w:val="000000"/>
              </w:rPr>
            </w:pPr>
            <w:r>
              <w:rPr>
                <w:b/>
                <w:color w:themeColor="text1" w:val="000000"/>
              </w:rPr>
              <w:t>Rok 2</w:t>
            </w:r>
          </w:p>
        </w:tc>
        <w:tc>
          <w:tcPr>
            <w:tcW w:type="dxa" w:w="1868"/>
          </w:tcPr>
          <w:p>
            <w:pPr>
              <w:pStyle w:val="NormalWeb"/>
              <w:spacing w:before="40" w:after="40"/>
              <w:jc w:val="left"/>
              <w:rPr>
                <w:b/>
                <w:color w:themeColor="text1" w:val="000000"/>
              </w:rPr>
            </w:pPr>
            <w:r>
              <w:rPr>
                <w:b/>
                <w:color w:themeColor="text1" w:val="000000"/>
              </w:rPr>
              <w:t>Rok 3</w:t>
            </w:r>
          </w:p>
        </w:tc>
      </w:tr>
      <w:tr>
        <w:tc>
          <w:tcPr>
            <w:tcW w:type="dxa" w:w="3400"/>
          </w:tcPr>
          <w:p>
            <w:pPr>
              <w:pStyle w:val="NormalWeb"/>
              <w:spacing w:before="40" w:after="40"/>
              <w:jc w:val="left"/>
              <w:rPr>
                <w:color w:themeColor="text1" w:val="000000"/>
              </w:rPr>
            </w:pPr>
            <w:r>
              <w:rPr>
                <w:color w:themeColor="text1" w:val="000000"/>
              </w:rPr>
              <w:t>Podstawowy (320 zł), rekomendowany</w:t>
            </w:r>
          </w:p>
        </w:tc>
        <w:tc>
          <w:tcPr>
            <w:tcW w:type="dxa" w:w="1866"/>
          </w:tcPr>
          <w:p>
            <w:pPr>
              <w:pStyle w:val="NormalWeb"/>
              <w:spacing w:before="40" w:after="40"/>
              <w:jc w:val="left"/>
              <w:rPr>
                <w:color w:themeColor="text1" w:val="000000"/>
              </w:rPr>
            </w:pPr>
            <w:r>
              <w:rPr>
                <w:color w:themeColor="text1" w:val="000000"/>
              </w:rPr>
              <w:t>192 000 zł</w:t>
            </w:r>
          </w:p>
        </w:tc>
        <w:tc>
          <w:tcPr>
            <w:tcW w:type="dxa" w:w="1866"/>
          </w:tcPr>
          <w:p>
            <w:pPr>
              <w:pStyle w:val="NormalWeb"/>
              <w:spacing w:before="40" w:after="40"/>
              <w:jc w:val="left"/>
              <w:rPr>
                <w:color w:themeColor="text1" w:val="000000"/>
              </w:rPr>
            </w:pPr>
            <w:r>
              <w:rPr>
                <w:color w:themeColor="text1" w:val="000000"/>
              </w:rPr>
              <w:t>342 400 zł</w:t>
            </w:r>
          </w:p>
        </w:tc>
        <w:tc>
          <w:tcPr>
            <w:tcW w:type="dxa" w:w="1868"/>
          </w:tcPr>
          <w:p>
            <w:pPr>
              <w:pStyle w:val="NormalWeb"/>
              <w:spacing w:before="40" w:after="40"/>
              <w:jc w:val="left"/>
              <w:rPr>
                <w:color w:themeColor="text1" w:val="000000"/>
              </w:rPr>
            </w:pPr>
            <w:r>
              <w:rPr>
                <w:color w:themeColor="text1" w:val="000000"/>
              </w:rPr>
              <w:t>463 200 zł</w:t>
            </w:r>
          </w:p>
        </w:tc>
      </w:tr>
      <w:tr>
        <w:tc>
          <w:tcPr>
            <w:tcW w:type="dxa" w:w="3400"/>
          </w:tcPr>
          <w:p>
            <w:pPr>
              <w:pStyle w:val="NormalWeb"/>
              <w:spacing w:before="40" w:after="40"/>
              <w:jc w:val="left"/>
              <w:rPr>
                <w:color w:themeColor="text1" w:val="000000"/>
              </w:rPr>
            </w:pPr>
            <w:r>
              <w:rPr>
                <w:color w:themeColor="text1" w:val="000000"/>
              </w:rPr>
              <w:t>Wyrównany z konkurencją (220 zł)</w:t>
            </w:r>
          </w:p>
        </w:tc>
        <w:tc>
          <w:tcPr>
            <w:tcW w:type="dxa" w:w="1866"/>
          </w:tcPr>
          <w:p>
            <w:pPr>
              <w:pStyle w:val="NormalWeb"/>
              <w:spacing w:before="40" w:after="40"/>
              <w:jc w:val="left"/>
              <w:rPr>
                <w:color w:themeColor="text1" w:val="000000"/>
              </w:rPr>
            </w:pPr>
            <w:r>
              <w:rPr>
                <w:color w:themeColor="text1" w:val="000000"/>
              </w:rPr>
              <w:t>136 000 zł</w:t>
            </w:r>
          </w:p>
        </w:tc>
        <w:tc>
          <w:tcPr>
            <w:tcW w:type="dxa" w:w="1866"/>
          </w:tcPr>
          <w:p>
            <w:pPr>
              <w:pStyle w:val="NormalWeb"/>
              <w:spacing w:before="40" w:after="40"/>
              <w:jc w:val="left"/>
              <w:rPr>
                <w:color w:themeColor="text1" w:val="000000"/>
              </w:rPr>
            </w:pPr>
            <w:r>
              <w:rPr>
                <w:color w:themeColor="text1" w:val="000000"/>
              </w:rPr>
              <w:t>242 400 zł</w:t>
            </w:r>
          </w:p>
        </w:tc>
        <w:tc>
          <w:tcPr>
            <w:tcW w:type="dxa" w:w="1868"/>
          </w:tcPr>
          <w:p>
            <w:pPr>
              <w:pStyle w:val="NormalWeb"/>
              <w:spacing w:before="40" w:after="40"/>
              <w:jc w:val="left"/>
              <w:rPr>
                <w:color w:themeColor="text1" w:val="000000"/>
              </w:rPr>
            </w:pPr>
            <w:r>
              <w:rPr>
                <w:color w:themeColor="text1" w:val="000000"/>
              </w:rPr>
              <w:t>328 200 zł</w:t>
            </w:r>
          </w:p>
        </w:tc>
      </w:tr>
    </w:tbl>
    <w:p>
      <w:pPr>
        <w:pStyle w:val="NormalWeb"/>
        <w:rPr>
          <w:color w:themeColor="text1" w:val="000000"/>
        </w:rPr>
      </w:pPr>
      <w:r>
        <w:rPr>
          <w:color w:themeColor="text1" w:val="000000"/>
        </w:rPr>
        <w:t/>
      </w:r>
    </w:p>
    <w:p>
      <w:pPr>
        <w:pStyle w:val="NormalWeb"/>
        <w:rPr>
          <w:i/>
          <w:color w:themeColor="text1" w:val="000000"/>
        </w:rPr>
      </w:pPr>
      <w:r>
        <w:rPr>
          <w:i/>
          <w:color w:themeColor="text1" w:val="000000"/>
        </w:rPr>
        <w:t>Różnica w pierwszym roku wynosi 56 000 zł (ok. 29%). Wariantem rekomendowanym pozostaje podstawowy, przy ograniczonej pojemności organizacyjnej dwuosobowego zespołu wyższy przychód na uczestnika ma większe znaczenie niż wolumen. Wariant wyrównany może zostać wdrożony jako niższa cena wprowadzająca w pierwszym semestrze.</w:t>
      </w:r>
    </w:p>
    <w:p>
      <w:pPr>
        <w:pStyle w:val="Heading2"/>
        <w:rPr>
          <w:rFonts w:eastAsia="Times New Roman"/>
          <w:color w:themeColor="text1" w:val="000000"/>
        </w:rPr>
      </w:pPr>
      <w:r>
        <w:rPr>
          <w:rFonts w:eastAsia="Times New Roman"/>
          <w:color w:themeColor="text1" w:val="000000"/>
        </w:rPr>
        <w:t>Założenia ostrożnościowe przyjęte w prognozie</w:t>
      </w:r>
    </w:p>
    <w:p>
      <w:pPr>
        <w:pStyle w:val="NormalWeb"/>
        <w:numPr>
          <w:ilvl w:val="0"/>
          <w:numId w:val="87"/>
        </w:numPr>
        <w:jc w:val="left"/>
        <w:rPr>
          <w:color w:themeColor="text1" w:val="000000"/>
        </w:rPr>
      </w:pPr>
      <w:r>
        <w:rPr>
          <w:color w:themeColor="text1" w:val="000000"/>
        </w:rPr>
        <w:t>rozliczenie w cyklu 10 miesięcy roku szkolnego, nie 12 miesięcy kalendarzowych</w:t>
      </w:r>
    </w:p>
    <w:p>
      <w:pPr>
        <w:pStyle w:val="NormalWeb"/>
        <w:numPr>
          <w:ilvl w:val="0"/>
          <w:numId w:val="87"/>
        </w:numPr>
        <w:jc w:val="left"/>
        <w:rPr>
          <w:color w:themeColor="text1" w:val="000000"/>
        </w:rPr>
      </w:pPr>
      <w:r>
        <w:rPr>
          <w:color w:themeColor="text1" w:val="000000"/>
        </w:rPr>
        <w:t>stopniowy nabór w pierwszym roku (24 → 48 uczestników, średnia roczna 40)</w:t>
      </w:r>
    </w:p>
    <w:p>
      <w:pPr>
        <w:pStyle w:val="NormalWeb"/>
        <w:numPr>
          <w:ilvl w:val="0"/>
          <w:numId w:val="87"/>
        </w:numPr>
        <w:jc w:val="left"/>
        <w:rPr>
          <w:color w:themeColor="text1" w:val="000000"/>
        </w:rPr>
      </w:pPr>
      <w:r>
        <w:rPr>
          <w:color w:themeColor="text1" w:val="000000"/>
        </w:rPr>
        <w:t>przychody wakacyjne (półkolonie, warsztaty) nieujęte w prognozie, stanowią potencjał dodatkowy</w:t>
      </w:r>
    </w:p>
    <w:p>
      <w:pPr>
        <w:pStyle w:val="NormalWeb"/>
        <w:numPr>
          <w:ilvl w:val="0"/>
          <w:numId w:val="87"/>
        </w:numPr>
        <w:jc w:val="left"/>
        <w:rPr>
          <w:color w:themeColor="text1" w:val="000000"/>
        </w:rPr>
      </w:pPr>
      <w:r>
        <w:rPr>
          <w:color w:themeColor="text1" w:val="000000"/>
        </w:rPr>
        <w:t>320 zł to średnia ważona dla całej populacji uczestników, nie cena jednolita</w:t>
      </w:r>
    </w:p>
    <w:p>
      <w:pPr>
        <w:pStyle w:val="NormalWeb"/>
        <w:rPr>
          <w:color w:themeColor="text1" w:val="000000"/>
        </w:rPr>
      </w:pPr>
      <w:r>
        <w:rPr>
          <w:color w:themeColor="text1" w:val="000000"/>
        </w:rPr>
        <w:t>Inwestycja początkowa: 76 000 zł (wariant minimalny) lub 95 000–120 000 zł (wariant rekomendowany, obejmujący rezerwę operacyjną na pierwsze trzy miesiące).</w:t>
      </w:r>
    </w:p>
    <w:p>
      <w:pPr>
        <w:pStyle w:val="Heading1"/>
        <w:rPr>
          <w:rFonts w:eastAsia="Times New Roman"/>
          <w:color w:themeColor="text1" w:val="000000"/>
        </w:rPr>
      </w:pPr>
      <w:r>
        <w:rPr>
          <w:rFonts w:eastAsia="Times New Roman"/>
          <w:color w:themeColor="text1" w:val="000000"/>
        </w:rPr>
        <w:t>5. Organizacja pracy i potencjał kadrowy</w:t>
      </w:r>
    </w:p>
    <w:p>
      <w:pPr>
        <w:pStyle w:val="NormalWeb"/>
        <w:rPr>
          <w:color w:themeColor="text1" w:val="000000"/>
        </w:rPr>
      </w:pPr>
      <w:r>
        <w:rPr>
          <w:color w:themeColor="text1" w:val="000000"/>
        </w:rPr>
        <w:t>Zajęcia mają charakter dodatkowy i odbywają się w drugiej połowie dnia (ok. 14:00–20:00, poniedziałek–piątek).</w:t>
      </w:r>
    </w:p>
    <w:p>
      <w:pPr>
        <w:pStyle w:val="NormalWeb"/>
        <w:rPr>
          <w:color w:themeColor="text1" w:val="000000"/>
        </w:rPr>
      </w:pPr>
      <w:r>
        <w:rPr>
          <w:color w:themeColor="text1" w:val="000000"/>
        </w:rPr>
        <w:t>Analiza pojemności organizacyjnej: okno popołudniowe daje ok. 20 bloków zajęciowych tygodniowo na osobę prowadzącą, czyli do 40 bloków przy dwuosobowym zespole. Zapotrzebowanie pierwszego roku to ok. 22 bloki tygodniowo, około połowy pojemności; pozostały czas przeznaczony jest na przygotowanie zajęć, marketing i administrację.</w:t>
      </w:r>
    </w:p>
    <w:p>
      <w:pPr>
        <w:pStyle w:val="NormalWeb"/>
        <w:rPr>
          <w:i/>
          <w:color w:themeColor="text1" w:val="000000"/>
        </w:rPr>
      </w:pPr>
      <w:r>
        <w:rPr>
          <w:i/>
          <w:color w:themeColor="text1" w:val="000000"/>
        </w:rPr>
        <w:t>Wniosek: dwuosobowy zespół wystarcza na realizację założeń roku pierwszego (48 uczestników), ale nie na skalę roku drugiego. Moment rozszerzenia zespołu (ok. 70 uczestników) wynika zatem z obiektywnego rachunku organizacyjnego, a nie z decyzji uznaniowej.</w:t>
      </w:r>
    </w:p>
    <w:p>
      <w:pPr>
        <w:pStyle w:val="NormalWeb"/>
        <w:rPr>
          <w:color w:themeColor="text1" w:val="000000"/>
        </w:rPr>
      </w:pPr>
      <w:r>
        <w:rPr>
          <w:color w:themeColor="text1" w:val="000000"/>
        </w:rPr>
        <w:t>Godziny przedpołudniowe pozostają wolne, to zidentyfikowany potencjał rozwojowy (współpraca z przedszkolami i szkołami, warsztaty dla grup zorganizowanych, półkolonie), nieujęty w prognozie i niewymagający dodatkowych nakładów.</w:t>
      </w:r>
    </w:p>
    <w:p>
      <w:pPr>
        <w:pStyle w:val="Heading1"/>
        <w:rPr>
          <w:rFonts w:eastAsia="Times New Roman"/>
          <w:color w:themeColor="text1" w:val="000000"/>
        </w:rPr>
      </w:pPr>
      <w:r>
        <w:rPr>
          <w:rFonts w:eastAsia="Times New Roman"/>
          <w:color w:themeColor="text1" w:val="000000"/>
        </w:rPr>
        <w:t>6. Zgodność z kryteriami oceny</w:t>
      </w:r>
    </w:p>
    <w:p>
      <w:pPr>
        <w:pStyle w:val="NormalWeb"/>
        <w:rPr>
          <w:color w:themeColor="text1" w:val="000000"/>
        </w:rPr>
      </w:pPr>
      <w:r>
        <w:rPr>
          <w:color w:themeColor="text1" w:val="000000"/>
        </w:rPr>
        <w:t>Biznesplan zawiera rozdziały odpowiadające standardowym blokom oceny wniosków:</w:t>
      </w:r>
    </w:p>
    <w:p>
      <w:pPr>
        <w:pStyle w:val="NormalWeb"/>
        <w:numPr>
          <w:ilvl w:val="0"/>
          <w:numId w:val="87"/>
        </w:numPr>
        <w:jc w:val="left"/>
        <w:rPr>
          <w:color w:themeColor="text1" w:val="000000"/>
        </w:rPr>
      </w:pPr>
      <w:r>
        <w:rPr>
          <w:color w:themeColor="text1" w:val="000000"/>
        </w:rPr>
        <w:t>Rozdz. 27, forma prawna, źródła finansowania, harmonogram rzeczowo-finansowy</w:t>
      </w:r>
    </w:p>
    <w:p>
      <w:pPr>
        <w:pStyle w:val="NormalWeb"/>
        <w:numPr>
          <w:ilvl w:val="0"/>
          <w:numId w:val="87"/>
        </w:numPr>
        <w:jc w:val="left"/>
        <w:rPr>
          <w:color w:themeColor="text1" w:val="000000"/>
        </w:rPr>
      </w:pPr>
      <w:r>
        <w:rPr>
          <w:color w:themeColor="text1" w:val="000000"/>
        </w:rPr>
        <w:t>Rozdz. 28, zasady horyzontalne (równość szans, dostępność dla osób z niepełnosprawnościami, zrównoważony rozwój, równość płci)</w:t>
      </w:r>
    </w:p>
    <w:p>
      <w:pPr>
        <w:pStyle w:val="NormalWeb"/>
        <w:numPr>
          <w:ilvl w:val="0"/>
          <w:numId w:val="87"/>
        </w:numPr>
        <w:jc w:val="left"/>
        <w:rPr>
          <w:color w:themeColor="text1" w:val="000000"/>
        </w:rPr>
      </w:pPr>
      <w:r>
        <w:rPr>
          <w:color w:themeColor="text1" w:val="000000"/>
        </w:rPr>
        <w:t>Rozdz. 29, wskaźniki produktu i rezultatu oraz trwałość projektu</w:t>
      </w:r>
    </w:p>
    <w:p>
      <w:pPr>
        <w:pStyle w:val="NormalWeb"/>
        <w:numPr>
          <w:ilvl w:val="0"/>
          <w:numId w:val="87"/>
        </w:numPr>
        <w:jc w:val="left"/>
        <w:rPr>
          <w:color w:themeColor="text1" w:val="000000"/>
        </w:rPr>
      </w:pPr>
      <w:r>
        <w:rPr>
          <w:color w:themeColor="text1" w:val="000000"/>
        </w:rPr>
        <w:t>Rozdz. 30, kwalifikacje i doświadczenie wnioskodawcy</w:t>
      </w:r>
    </w:p>
    <w:p>
      <w:pPr>
        <w:pStyle w:val="NormalWeb"/>
        <w:numPr>
          <w:ilvl w:val="0"/>
          <w:numId w:val="87"/>
        </w:numPr>
        <w:jc w:val="left"/>
        <w:rPr>
          <w:color w:themeColor="text1" w:val="000000"/>
        </w:rPr>
      </w:pPr>
      <w:r>
        <w:rPr>
          <w:color w:themeColor="text1" w:val="000000"/>
        </w:rPr>
        <w:t>Rozdz. 31, zgodność z wymogami prawnymi (Standardy Ochrony Małoletnich, weryfikacja niekaralności, RODO, ubezpieczenie, wymogi lokalowe)</w:t>
      </w:r>
    </w:p>
    <w:p>
      <w:pPr>
        <w:pStyle w:val="NormalWeb"/>
        <w:numPr>
          <w:ilvl w:val="0"/>
          <w:numId w:val="87"/>
        </w:numPr>
        <w:jc w:val="left"/>
        <w:rPr>
          <w:color w:themeColor="text1" w:val="000000"/>
        </w:rPr>
      </w:pPr>
      <w:r>
        <w:rPr>
          <w:color w:themeColor="text1" w:val="000000"/>
        </w:rPr>
        <w:t>Rozdz. 24, analiza ryzyka</w:t>
      </w:r>
    </w:p>
    <w:p>
      <w:pPr>
        <w:pStyle w:val="NormalWeb"/>
        <w:numPr>
          <w:ilvl w:val="0"/>
          <w:numId w:val="87"/>
        </w:numPr>
        <w:jc w:val="left"/>
        <w:rPr>
          <w:color w:themeColor="text1" w:val="000000"/>
        </w:rPr>
      </w:pPr>
      <w:r>
        <w:rPr>
          <w:color w:themeColor="text1" w:val="000000"/>
        </w:rPr>
        <w:t>Aneks naukowy, uzasadnienie merytoryczne z cytowaniami źródeł międzynarodowych</w:t>
      </w:r>
    </w:p>
    <w:p>
      <w:pPr>
        <w:pStyle w:val="Heading1"/>
        <w:rPr>
          <w:rFonts w:eastAsia="Times New Roman"/>
          <w:color w:themeColor="text1" w:val="000000"/>
        </w:rPr>
      </w:pPr>
      <w:r>
        <w:rPr>
          <w:rFonts w:eastAsia="Times New Roman"/>
          <w:color w:themeColor="text1" w:val="000000"/>
        </w:rPr>
        <w:t>7. Status dokumentacji — co wymaga uzupełnienia</w:t>
      </w:r>
    </w:p>
    <w:p>
      <w:pPr>
        <w:pStyle w:val="NormalWeb"/>
        <w:rPr>
          <w:color w:themeColor="text1" w:val="000000"/>
        </w:rPr>
      </w:pPr>
      <w:r>
        <w:rPr>
          <w:color w:themeColor="text1" w:val="000000"/>
        </w:rPr>
        <w:t>Dokument jest kompletny pod względem struktury, spójności wewnętrznej i formatowania. Przed złożeniem wniosku uzupełnienia wymagają dwa elementy:</w:t>
      </w:r>
    </w:p>
    <w:p>
      <w:pPr>
        <w:pStyle w:val="NormalWeb"/>
        <w:numPr>
          <w:ilvl w:val="0"/>
          <w:numId w:val="87"/>
        </w:numPr>
        <w:jc w:val="left"/>
        <w:rPr>
          <w:color w:themeColor="text1" w:val="000000"/>
        </w:rPr>
      </w:pPr>
      <w:r>
        <w:rPr>
          <w:color w:themeColor="text1" w:val="000000"/>
        </w:rPr>
        <w:t>Rozdział 30, kwalifikacje wnioskodawcy. Sekcja przygotowana strukturalnie, wymaga wpisania rzeczywistych danych: wykształcenia, ukończonych kursów, doświadczenia w pracy z dziećmi oraz kompetencji biznesowych. Jest to jeden z najwyżej punktowanych elementów oceny.</w:t>
      </w:r>
    </w:p>
    <w:p>
      <w:pPr>
        <w:pStyle w:val="NormalWeb"/>
        <w:numPr>
          <w:ilvl w:val="0"/>
          <w:numId w:val="87"/>
        </w:numPr>
        <w:jc w:val="left"/>
        <w:rPr>
          <w:color w:themeColor="text1" w:val="000000"/>
        </w:rPr>
      </w:pPr>
      <w:r>
        <w:rPr>
          <w:color w:themeColor="text1" w:val="000000"/>
        </w:rPr>
        <w:t>Weryfikacja stawek kosztowych z bieżącym rynkiem, czynsz najmu, wynagrodzenia, koszty adaptacji lokalu. Wartości przyjęte w Rozdziale 13 mają charakter szacunkowy.</w:t>
      </w:r>
    </w:p>
    <w:p>
      <w:pPr>
        <w:pStyle w:val="NormalWeb"/>
        <w:numPr>
          <w:ilvl w:val="0"/>
          <w:numId w:val="87"/>
        </w:numPr>
        <w:jc w:val="left"/>
        <w:rPr>
          <w:color w:themeColor="text1" w:val="000000"/>
        </w:rPr>
      </w:pPr>
      <w:r>
        <w:rPr>
          <w:color w:themeColor="text1" w:val="000000"/>
        </w:rPr>
        <w:t>Zestawienie kosztów operacyjnych i próg rentowności, plan przedstawia stronę przychodową w dwóch wariantach cenowych oraz budżet inwestycyjny; uzupełnienia wymaga zestawienie kosztów bieżących (czynsz, media, wynagrodzenie współpracownika, składki, ubezpieczenie), umożliwiające wyliczenie progu rentowności dla każdego z wariantów</w:t>
      </w:r>
    </w:p>
    <w:p>
      <w:pPr>
        <w:pStyle w:val="NormalWeb"/>
        <w:rPr>
          <w:color w:themeColor="text1" w:val="000000"/>
        </w:rPr>
      </w:pPr>
      <w:r>
        <w:rPr>
          <w:color w:themeColor="text1" w:val="000000"/>
        </w:rPr>
        <w:t>Ponadto do potwierdzenia z regulaminem konkretnego naboru pozostają: wymagany moment rejestracji działalności, wysokość i źródło wkładu własnego oraz wymagany okres trwałości projektu.</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Nieznany autor" w:date="2026-07-20T17:11:36Z" w:initials="">
    <w:p>
      <w:pPr>
        <w:overflowPunct w:val="false"/>
        <w:spacing w:before="0" w:after="0" w:lineRule="auto" w:line="240"/>
        <w:rPr/>
      </w:pPr>
      <w:r>
        <w:annotationRef/>
      </w:r>
      <w:r>
        <w:rPr/>
        <w:t>Do uzupełnienia</w:t>
      </w:r>
    </w:p>
  </w:comment>
  <w:comment w:id="1" w:author="Nieznany autor" w:date="2026-07-20T17:35:37Z" w:initials="">
    <w:p>
      <w:pPr>
        <w:overflowPunct w:val="false"/>
        <w:spacing w:before="0" w:after="0" w:lineRule="auto" w:line="240"/>
        <w:rPr/>
      </w:pPr>
      <w:r>
        <w:annotationRef/>
      </w:r>
      <w:r>
        <w:rPr/>
        <w:t>Do zastanowienia</w:t>
      </w:r>
    </w:p>
    <w:p>
      <w:pPr>
        <w:overflowPunct w:val="false"/>
        <w:spacing w:before="0" w:after="0" w:lineRule="auto" w:line="240"/>
        <w:rPr/>
      </w:pPr>
      <w:r>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Aptos">
    <w:charset w:val="ee" w:characterSet="windows-1250"/>
    <w:family w:val="roman"/>
    <w:pitch w:val="variable"/>
  </w:font>
  <w:font w:name="Aptos Display">
    <w:charset w:val="ee" w:characterSet="windows-1250"/>
    <w:family w:val="roman"/>
    <w:pitch w:val="variable"/>
  </w:font>
  <w:font w:name="Liberation Sans">
    <w:altName w:val="Arial"/>
    <w:charset w:val="ee" w:characterSet="windows-1250"/>
    <w:family w:val="swiss"/>
    <w:pitch w:val="variable"/>
  </w:font>
  <w:font w:name="Times New Roman">
    <w:charset w:val="ee" w:characterSet="windows-1250"/>
    <w:family w:val="roman"/>
    <w:pitch w:val="variable"/>
  </w:font>
  <w:font w:name="Segoe UI Symbol">
    <w:charset w:val="ee" w:characterSet="windows-1250"/>
    <w:family w:val="swiss"/>
    <w:pitch w:val="variable"/>
  </w:font>
  <w:font w:name="Segoe UI Emoji">
    <w:charset w:val="ee" w:characterSet="windows-125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f6d5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0f6d5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0f6d5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f6d5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f6d5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f6d5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f6d5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f6d5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f6d5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0f6d5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0f6d5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0f6d50"/>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0f6d50"/>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0f6d50"/>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0f6d50"/>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0f6d50"/>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0f6d50"/>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0f6d50"/>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0f6d5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0f6d5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f6d50"/>
    <w:rPr>
      <w:i/>
      <w:iCs/>
      <w:color w:themeColor="text1" w:themeTint="bf" w:val="404040"/>
    </w:rPr>
  </w:style>
  <w:style w:type="character" w:styleId="IntenseEmphasis">
    <w:name w:val="Intense Emphasis"/>
    <w:basedOn w:val="DefaultParagraphFont"/>
    <w:uiPriority w:val="21"/>
    <w:qFormat/>
    <w:rsid w:val="000f6d50"/>
    <w:rPr>
      <w:i/>
      <w:iCs/>
      <w:color w:themeColor="accent1" w:themeShade="bf" w:val="0F4761"/>
    </w:rPr>
  </w:style>
  <w:style w:type="character" w:styleId="IntenseQuoteChar" w:customStyle="1">
    <w:name w:val="Intense Quote Char"/>
    <w:basedOn w:val="DefaultParagraphFont"/>
    <w:link w:val="IntenseQuote"/>
    <w:uiPriority w:val="30"/>
    <w:qFormat/>
    <w:rsid w:val="000f6d50"/>
    <w:rPr>
      <w:i/>
      <w:iCs/>
      <w:color w:themeColor="accent1" w:themeShade="bf" w:val="0F4761"/>
    </w:rPr>
  </w:style>
  <w:style w:type="character" w:styleId="IntenseReference">
    <w:name w:val="Intense Reference"/>
    <w:basedOn w:val="DefaultParagraphFont"/>
    <w:uiPriority w:val="32"/>
    <w:qFormat/>
    <w:rsid w:val="000f6d50"/>
    <w:rPr>
      <w:b/>
      <w:bCs/>
      <w:smallCaps/>
      <w:color w:themeColor="accent1" w:themeShade="bf" w:val="0F4761"/>
      <w:spacing w:val="5"/>
    </w:rPr>
  </w:style>
  <w:style w:type="character" w:styleId="Strong">
    <w:name w:val="Strong"/>
    <w:basedOn w:val="DefaultParagraphFont"/>
    <w:uiPriority w:val="22"/>
    <w:qFormat/>
    <w:rsid w:val="000f6d50"/>
    <w:rPr>
      <w:b/>
      <w:bCs/>
    </w:rPr>
  </w:style>
  <w:style w:type="character" w:styleId="Hyperlink">
    <w:name w:val="Hyperlink"/>
    <w:basedOn w:val="DefaultParagraphFont"/>
    <w:uiPriority w:val="99"/>
    <w:semiHidden/>
    <w:unhideWhenUsed/>
    <w:rsid w:val="00166af9"/>
    <w:rPr>
      <w:color w:val="0000FF"/>
      <w:u w:val="single"/>
    </w:rPr>
  </w:style>
  <w:style w:type="character" w:styleId="Emphasis">
    <w:name w:val="Emphasis"/>
    <w:basedOn w:val="DefaultParagraphFont"/>
    <w:uiPriority w:val="20"/>
    <w:qFormat/>
    <w:rsid w:val="00166af9"/>
    <w:rPr>
      <w:i/>
      <w:iCs/>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Title">
    <w:name w:val="Title"/>
    <w:basedOn w:val="Normal"/>
    <w:next w:val="Normal"/>
    <w:link w:val="TitleChar"/>
    <w:uiPriority w:val="10"/>
    <w:qFormat/>
    <w:rsid w:val="000f6d5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f6d5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f6d50"/>
    <w:pPr>
      <w:spacing w:before="160" w:after="160"/>
      <w:jc w:val="center"/>
    </w:pPr>
    <w:rPr>
      <w:i/>
      <w:iCs/>
      <w:color w:themeColor="text1" w:themeTint="bf" w:val="404040"/>
    </w:rPr>
  </w:style>
  <w:style w:type="paragraph" w:styleId="ListParagraph">
    <w:name w:val="List Paragraph"/>
    <w:basedOn w:val="Normal"/>
    <w:uiPriority w:val="34"/>
    <w:qFormat/>
    <w:rsid w:val="000f6d50"/>
    <w:pPr>
      <w:spacing w:before="0" w:after="160"/>
      <w:ind w:start="720"/>
      <w:contextualSpacing/>
    </w:pPr>
    <w:rPr/>
  </w:style>
  <w:style w:type="paragraph" w:styleId="IntenseQuote">
    <w:name w:val="Intense Quote"/>
    <w:basedOn w:val="Normal"/>
    <w:next w:val="Normal"/>
    <w:link w:val="IntenseQuoteChar"/>
    <w:uiPriority w:val="30"/>
    <w:qFormat/>
    <w:rsid w:val="000f6d5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unhideWhenUsed/>
    <w:qFormat/>
    <w:rsid w:val="000f6d50"/>
    <w:pPr>
      <w:spacing w:lineRule="auto" w:line="240" w:beforeAutospacing="1" w:afterAutospacing="1"/>
      <w:jc w:val="both"/>
    </w:pPr>
    <w:rPr>
      <w:rFonts w:ascii="Times New Roman" w:hAnsi="Times New Roman" w:cs="Times New Roman"/>
      <w:kern w:val="0"/>
      <w14:ligatures w14:val="none"/>
    </w:rPr>
  </w:style>
  <w:style w:type="paragraph" w:styleId="Komentarz">
    <w:name w:val="Komentarz"/>
    <w:basedOn w:val="Normal"/>
    <w:qFormat/>
    <w:pPr>
      <w:spacing w:lineRule="auto" w:line="240" w:before="56" w:after="0"/>
      <w:ind w:hanging="0" w:start="57" w:end="57"/>
    </w:pPr>
    <w:rPr>
      <w:color w:val="auto"/>
      <w:sz w:val="20"/>
      <w:szCs w:val="20"/>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uiPriority w:val="99"/>
    <w:unhideWhenUsed/>
    <w:pPr>
      <w:tabs>
        <w:tab w:val="center" w:pos="4680"/>
        <w:tab w:val="right" w:pos="9360"/>
      </w:tabs>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oecd.org/education/2030-project/" TargetMode="External"/><Relationship Id="rId3" Type="http://schemas.openxmlformats.org/officeDocument/2006/relationships/hyperlink" Target="https://www.unesco.org/en/media-information-literacy?hub=66672" TargetMode="External"/><Relationship Id="rId4" Type="http://schemas.openxmlformats.org/officeDocument/2006/relationships/hyperlink" Target="https://www.unesco.org/en/media-information-literacy?hub=66672" TargetMode="External"/><Relationship Id="rId5" Type="http://schemas.openxmlformats.org/officeDocument/2006/relationships/hyperlink" Target="https://educationendowmentfoundation.org.uk/education-evidence/teaching-learning-toolkit/oral-language-interventions" TargetMode="External"/><Relationship Id="rId6" Type="http://schemas.openxmlformats.org/officeDocument/2006/relationships/hyperlink" Target="https://www.unesco.org/en/media-information-literacy?hub=66672" TargetMode="Externa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LibreOffice/26.2.4.2$Windows_X86_64 LibreOffice_project/0229ac93fcf0d7cbc6376066c6f35021cef002dc</Application>
  <AppVersion>15.0000</AppVersion>
  <Pages>59</Pages>
  <Words>7014</Words>
  <Characters>45586</Characters>
  <CharactersWithSpaces>50603</CharactersWithSpaces>
  <Paragraphs>1484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2026-07-19T11:48:00Z</dcterms:created>
  <dc:creator>Natalia Marczewska</dc:creator>
  <dc:description/>
  <dc:language>pl-PL</dc:language>
  <cp:lastModifiedBy/>
  <dcterms:modified xsi:type="dcterms:W3CDTF">2026-07-20T17:35:50Z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