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A047A" w14:textId="77777777" w:rsidR="00C73310" w:rsidRDefault="00C73310">
      <w:pPr>
        <w:widowControl w:val="0"/>
        <w:pBdr>
          <w:top w:val="nil"/>
          <w:left w:val="nil"/>
          <w:bottom w:val="nil"/>
          <w:right w:val="nil"/>
          <w:between w:val="nil"/>
        </w:pBdr>
        <w:spacing w:line="276" w:lineRule="auto"/>
        <w:rPr>
          <w:rFonts w:eastAsia="Arial" w:cs="Arial"/>
          <w:sz w:val="22"/>
          <w:szCs w:val="22"/>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8174"/>
        <w:gridCol w:w="11"/>
      </w:tblGrid>
      <w:tr w:rsidR="00C73310" w14:paraId="593098B0" w14:textId="77777777">
        <w:tc>
          <w:tcPr>
            <w:tcW w:w="1165" w:type="dxa"/>
            <w:tcBorders>
              <w:top w:val="single" w:sz="4" w:space="0" w:color="000000"/>
              <w:bottom w:val="single" w:sz="4" w:space="0" w:color="FFFFFF"/>
            </w:tcBorders>
            <w:shd w:val="clear" w:color="auto" w:fill="002951"/>
          </w:tcPr>
          <w:p w14:paraId="742A73FD" w14:textId="77777777" w:rsidR="00C73310" w:rsidRDefault="00000000">
            <w:pPr>
              <w:spacing w:before="40" w:after="40" w:line="269" w:lineRule="auto"/>
              <w:rPr>
                <w:b/>
                <w:color w:val="FFFFFF"/>
              </w:rPr>
            </w:pPr>
            <w:r>
              <w:rPr>
                <w:b/>
                <w:color w:val="FFFFFF"/>
              </w:rPr>
              <w:t>Strength</w:t>
            </w:r>
          </w:p>
        </w:tc>
        <w:tc>
          <w:tcPr>
            <w:tcW w:w="8185" w:type="dxa"/>
            <w:gridSpan w:val="2"/>
            <w:tcBorders>
              <w:top w:val="single" w:sz="4" w:space="0" w:color="000000"/>
            </w:tcBorders>
          </w:tcPr>
          <w:p w14:paraId="6F58FC06" w14:textId="64518315" w:rsidR="001A52DA" w:rsidRDefault="00000000">
            <w:pPr>
              <w:spacing w:before="40" w:after="40" w:line="269" w:lineRule="auto"/>
              <w:rPr>
                <w:b/>
                <w:u w:val="single"/>
              </w:rPr>
            </w:pPr>
            <w:r>
              <w:rPr>
                <w:b/>
                <w:u w:val="single"/>
              </w:rPr>
              <w:t>Strength</w:t>
            </w:r>
          </w:p>
          <w:p w14:paraId="3CEE63C8" w14:textId="5A3F09FE" w:rsidR="00C73310" w:rsidRDefault="001A52DA" w:rsidP="001A52DA">
            <w:pPr>
              <w:spacing w:before="40" w:after="40" w:line="269" w:lineRule="auto"/>
              <w:rPr>
                <w:rFonts w:cs="Arial"/>
                <w:color w:val="111111"/>
                <w:spacing w:val="1"/>
                <w:shd w:val="clear" w:color="auto" w:fill="FFFFFF"/>
              </w:rPr>
            </w:pPr>
            <w:r w:rsidRPr="001A52DA">
              <w:t>Net Leverage Ratio is below 5X</w:t>
            </w:r>
            <w:r>
              <w:t xml:space="preserve"> (As adopted by HSBC internal Benchmarking) </w:t>
            </w:r>
            <w:r w:rsidRPr="001A52DA">
              <w:t>and improving from 2020 to 202</w:t>
            </w:r>
            <w:r>
              <w:t>2</w:t>
            </w:r>
            <w:r w:rsidR="00035ABD">
              <w:t xml:space="preserve"> after the merger</w:t>
            </w:r>
            <w:r w:rsidRPr="001A52DA">
              <w:t xml:space="preserve">. Showing </w:t>
            </w:r>
            <w:r>
              <w:t>the a</w:t>
            </w:r>
            <w:r w:rsidRPr="001A52DA">
              <w:rPr>
                <w:rFonts w:cs="Arial"/>
                <w:color w:val="111111"/>
                <w:spacing w:val="1"/>
                <w:shd w:val="clear" w:color="auto" w:fill="FFFFFF"/>
              </w:rPr>
              <w:t xml:space="preserve">bility of company to meet its financial </w:t>
            </w:r>
            <w:r w:rsidR="00035ABD" w:rsidRPr="001A52DA">
              <w:rPr>
                <w:rFonts w:cs="Arial"/>
                <w:color w:val="111111"/>
                <w:spacing w:val="1"/>
                <w:shd w:val="clear" w:color="auto" w:fill="FFFFFF"/>
              </w:rPr>
              <w:t>obligations</w:t>
            </w:r>
            <w:r w:rsidR="00035ABD">
              <w:rPr>
                <w:rFonts w:cs="Arial"/>
                <w:color w:val="111111"/>
                <w:spacing w:val="1"/>
                <w:shd w:val="clear" w:color="auto" w:fill="FFFFFF"/>
              </w:rPr>
              <w:t xml:space="preserve">. Furthermore, </w:t>
            </w:r>
          </w:p>
          <w:p w14:paraId="303415AF" w14:textId="3A0555DC" w:rsidR="00035ABD" w:rsidRPr="001A52DA" w:rsidRDefault="00035ABD" w:rsidP="001A52DA">
            <w:pPr>
              <w:spacing w:before="40" w:after="40" w:line="269" w:lineRule="auto"/>
            </w:pPr>
            <w:r w:rsidRPr="001A52DA">
              <w:t xml:space="preserve">Interest Coverage Ratio </w:t>
            </w:r>
            <w:r>
              <w:t>is greater than 2x (As adopted by HSBC internal Benchmarking) and improving from 2020-2022</w:t>
            </w:r>
            <w:r>
              <w:t xml:space="preserve"> after the merger</w:t>
            </w:r>
            <w:r>
              <w:t xml:space="preserve">, showing </w:t>
            </w:r>
            <w:r w:rsidRPr="001A52DA">
              <w:t>company</w:t>
            </w:r>
            <w:r>
              <w:rPr>
                <w:rFonts w:cs="Arial"/>
                <w:color w:val="111111"/>
                <w:spacing w:val="1"/>
                <w:shd w:val="clear" w:color="auto" w:fill="FFFFFF"/>
              </w:rPr>
              <w:t>’s</w:t>
            </w:r>
            <w:r w:rsidRPr="001A52DA">
              <w:rPr>
                <w:rFonts w:cs="Arial"/>
                <w:color w:val="111111"/>
                <w:spacing w:val="1"/>
                <w:shd w:val="clear" w:color="auto" w:fill="FFFFFF"/>
              </w:rPr>
              <w:t xml:space="preserve"> ability to meet interest expenses</w:t>
            </w:r>
            <w:r>
              <w:rPr>
                <w:rFonts w:cs="Arial"/>
                <w:color w:val="111111"/>
                <w:spacing w:val="1"/>
                <w:shd w:val="clear" w:color="auto" w:fill="FFFFFF"/>
              </w:rPr>
              <w:t>.</w:t>
            </w:r>
          </w:p>
        </w:tc>
      </w:tr>
      <w:tr w:rsidR="00C73310" w14:paraId="1A301FC2" w14:textId="77777777">
        <w:tc>
          <w:tcPr>
            <w:tcW w:w="1165" w:type="dxa"/>
            <w:tcBorders>
              <w:top w:val="single" w:sz="4" w:space="0" w:color="FFFFFF"/>
              <w:left w:val="single" w:sz="4" w:space="0" w:color="FFFFFF"/>
              <w:bottom w:val="single" w:sz="4" w:space="0" w:color="FFFFFF"/>
              <w:right w:val="single" w:sz="4" w:space="0" w:color="FFFFFF"/>
            </w:tcBorders>
            <w:shd w:val="clear" w:color="auto" w:fill="002951"/>
          </w:tcPr>
          <w:p w14:paraId="385E8808" w14:textId="77777777" w:rsidR="00C73310" w:rsidRDefault="00000000">
            <w:pPr>
              <w:spacing w:before="40" w:after="40" w:line="269" w:lineRule="auto"/>
              <w:rPr>
                <w:b/>
                <w:color w:val="FFFFFF"/>
              </w:rPr>
            </w:pPr>
            <w:r>
              <w:rPr>
                <w:b/>
                <w:color w:val="FFFFFF"/>
              </w:rPr>
              <w:t>Strength</w:t>
            </w:r>
          </w:p>
        </w:tc>
        <w:tc>
          <w:tcPr>
            <w:tcW w:w="8185" w:type="dxa"/>
            <w:gridSpan w:val="2"/>
            <w:tcBorders>
              <w:left w:val="single" w:sz="4" w:space="0" w:color="FFFFFF"/>
            </w:tcBorders>
          </w:tcPr>
          <w:p w14:paraId="1D956A8F" w14:textId="77777777" w:rsidR="00C73310" w:rsidRDefault="00000000">
            <w:pPr>
              <w:spacing w:before="40" w:after="40" w:line="269" w:lineRule="auto"/>
              <w:rPr>
                <w:b/>
                <w:u w:val="single"/>
              </w:rPr>
            </w:pPr>
            <w:r>
              <w:rPr>
                <w:b/>
                <w:u w:val="single"/>
              </w:rPr>
              <w:t>Strength</w:t>
            </w:r>
          </w:p>
          <w:p w14:paraId="2776F8B6" w14:textId="1B2805B6" w:rsidR="00C73310" w:rsidRDefault="00035ABD">
            <w:pPr>
              <w:spacing w:before="40" w:after="40" w:line="269" w:lineRule="auto"/>
            </w:pPr>
            <w:r w:rsidRPr="00035ABD">
              <w:t>The annual cost savings from the acquisition (e.g., removing duplicate costs, increased efficiencies, etc.) are increasing from 2020-2022</w:t>
            </w:r>
            <w:r>
              <w:t xml:space="preserve"> contributing overall in the positive financial performance. </w:t>
            </w:r>
          </w:p>
        </w:tc>
      </w:tr>
      <w:tr w:rsidR="00C73310" w14:paraId="7C65D487" w14:textId="77777777" w:rsidTr="00964F1E">
        <w:trPr>
          <w:gridAfter w:val="1"/>
          <w:wAfter w:w="11" w:type="dxa"/>
          <w:trHeight w:val="1331"/>
        </w:trPr>
        <w:tc>
          <w:tcPr>
            <w:tcW w:w="1165" w:type="dxa"/>
            <w:tcBorders>
              <w:top w:val="single" w:sz="4" w:space="0" w:color="FFFFFF"/>
              <w:left w:val="single" w:sz="4" w:space="0" w:color="FFFFFF"/>
              <w:bottom w:val="single" w:sz="4" w:space="0" w:color="FFFFFF"/>
              <w:right w:val="single" w:sz="4" w:space="0" w:color="FFFFFF"/>
            </w:tcBorders>
            <w:shd w:val="clear" w:color="auto" w:fill="002951"/>
          </w:tcPr>
          <w:p w14:paraId="433F0D73" w14:textId="77777777" w:rsidR="00C73310" w:rsidRDefault="00000000">
            <w:pPr>
              <w:spacing w:before="40" w:after="40" w:line="269" w:lineRule="auto"/>
              <w:rPr>
                <w:b/>
                <w:color w:val="FFFFFF"/>
              </w:rPr>
            </w:pPr>
            <w:r>
              <w:rPr>
                <w:b/>
                <w:color w:val="FFFFFF"/>
              </w:rPr>
              <w:t>Strength</w:t>
            </w:r>
          </w:p>
        </w:tc>
        <w:tc>
          <w:tcPr>
            <w:tcW w:w="8174" w:type="dxa"/>
            <w:tcBorders>
              <w:left w:val="single" w:sz="4" w:space="0" w:color="FFFFFF"/>
            </w:tcBorders>
          </w:tcPr>
          <w:p w14:paraId="38C5B572" w14:textId="77777777" w:rsidR="00035ABD" w:rsidRPr="00035ABD" w:rsidRDefault="00000000" w:rsidP="00035ABD">
            <w:pPr>
              <w:spacing w:before="40" w:after="40" w:line="269" w:lineRule="auto"/>
              <w:rPr>
                <w:rFonts w:ascii="Times New Roman" w:hAnsi="Times New Roman"/>
                <w:sz w:val="20"/>
                <w:szCs w:val="20"/>
              </w:rPr>
            </w:pPr>
            <w:r>
              <w:rPr>
                <w:b/>
                <w:u w:val="single"/>
              </w:rPr>
              <w:t>Strength</w:t>
            </w:r>
            <w:r>
              <w:br/>
            </w:r>
            <w:r w:rsidR="00035ABD" w:rsidRPr="00035ABD">
              <w:rPr>
                <w:rFonts w:ascii="Times New Roman" w:hAnsi="Times New Roman"/>
                <w:sz w:val="20"/>
                <w:szCs w:val="20"/>
              </w:rPr>
              <w:t>The broader QSR market is growing at a strong 5-6% annual growth rate globally</w:t>
            </w:r>
          </w:p>
          <w:p w14:paraId="13CEBA39" w14:textId="77777777" w:rsidR="00035ABD" w:rsidRPr="00035ABD" w:rsidRDefault="00035ABD" w:rsidP="00035ABD">
            <w:pPr>
              <w:spacing w:before="40" w:after="40" w:line="269" w:lineRule="auto"/>
              <w:rPr>
                <w:rFonts w:ascii="Times New Roman" w:hAnsi="Times New Roman"/>
                <w:sz w:val="20"/>
                <w:szCs w:val="20"/>
              </w:rPr>
            </w:pPr>
            <w:r w:rsidRPr="00035ABD">
              <w:rPr>
                <w:rFonts w:ascii="Times New Roman" w:hAnsi="Times New Roman"/>
                <w:sz w:val="20"/>
                <w:szCs w:val="20"/>
              </w:rPr>
              <w:t>The Premium segment is growing significantly faster, underpinned by long-term changes in consumer preference</w:t>
            </w:r>
          </w:p>
          <w:p w14:paraId="7CCACE15" w14:textId="2731FE95" w:rsidR="00035ABD" w:rsidRPr="00035ABD" w:rsidRDefault="00035ABD" w:rsidP="00035ABD">
            <w:pPr>
              <w:spacing w:before="40" w:after="40" w:line="269" w:lineRule="auto"/>
              <w:rPr>
                <w:rFonts w:ascii="Times New Roman" w:hAnsi="Times New Roman"/>
                <w:sz w:val="20"/>
                <w:szCs w:val="20"/>
              </w:rPr>
            </w:pPr>
            <w:r w:rsidRPr="00035ABD">
              <w:rPr>
                <w:rFonts w:ascii="Times New Roman" w:hAnsi="Times New Roman"/>
                <w:sz w:val="20"/>
                <w:szCs w:val="20"/>
              </w:rPr>
              <w:t xml:space="preserve">Consumers are increasingly </w:t>
            </w:r>
            <w:r w:rsidRPr="00035ABD">
              <w:rPr>
                <w:rFonts w:ascii="Times New Roman" w:hAnsi="Times New Roman"/>
                <w:sz w:val="20"/>
                <w:szCs w:val="20"/>
              </w:rPr>
              <w:t>prioritizing</w:t>
            </w:r>
            <w:r w:rsidRPr="00035ABD">
              <w:rPr>
                <w:rFonts w:ascii="Times New Roman" w:hAnsi="Times New Roman"/>
                <w:sz w:val="20"/>
                <w:szCs w:val="20"/>
              </w:rPr>
              <w:t xml:space="preserve"> quality and experience over price</w:t>
            </w:r>
          </w:p>
          <w:p w14:paraId="767B89E4" w14:textId="44007385" w:rsidR="00C73310" w:rsidRPr="00964F1E" w:rsidRDefault="00035ABD" w:rsidP="00035ABD">
            <w:pPr>
              <w:spacing w:before="40" w:after="40" w:line="269" w:lineRule="auto"/>
            </w:pPr>
            <w:r w:rsidRPr="00035ABD">
              <w:t>Premium offerings have higher margins and more resilient customer bases</w:t>
            </w:r>
            <w:r>
              <w:t>.</w:t>
            </w:r>
          </w:p>
        </w:tc>
      </w:tr>
    </w:tbl>
    <w:p w14:paraId="6997440A" w14:textId="77777777" w:rsidR="00C73310" w:rsidRDefault="00C73310"/>
    <w:p w14:paraId="6B1A1D5B" w14:textId="77777777" w:rsidR="00C73310" w:rsidRDefault="00C73310"/>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8185"/>
      </w:tblGrid>
      <w:tr w:rsidR="00C73310" w14:paraId="048358D9" w14:textId="77777777">
        <w:tc>
          <w:tcPr>
            <w:tcW w:w="1165" w:type="dxa"/>
            <w:tcBorders>
              <w:bottom w:val="single" w:sz="4" w:space="0" w:color="FFFFFF"/>
            </w:tcBorders>
            <w:shd w:val="clear" w:color="auto" w:fill="002951"/>
          </w:tcPr>
          <w:p w14:paraId="63E51136" w14:textId="77777777" w:rsidR="00C73310" w:rsidRDefault="00000000">
            <w:pPr>
              <w:spacing w:before="40" w:after="40" w:line="269" w:lineRule="auto"/>
              <w:rPr>
                <w:b/>
                <w:color w:val="FFFFFF"/>
              </w:rPr>
            </w:pPr>
            <w:r>
              <w:rPr>
                <w:b/>
                <w:color w:val="FFFFFF"/>
              </w:rPr>
              <w:t>Risk</w:t>
            </w:r>
          </w:p>
        </w:tc>
        <w:tc>
          <w:tcPr>
            <w:tcW w:w="8185" w:type="dxa"/>
          </w:tcPr>
          <w:p w14:paraId="65D226D9" w14:textId="77777777" w:rsidR="00C73310" w:rsidRDefault="00000000">
            <w:pPr>
              <w:spacing w:before="40" w:after="40" w:line="269" w:lineRule="auto"/>
              <w:rPr>
                <w:b/>
                <w:u w:val="single"/>
              </w:rPr>
            </w:pPr>
            <w:r>
              <w:rPr>
                <w:b/>
                <w:u w:val="single"/>
              </w:rPr>
              <w:t>Risk</w:t>
            </w:r>
          </w:p>
          <w:p w14:paraId="0A706093" w14:textId="1B2EF515" w:rsidR="00A51983" w:rsidRPr="004D1174" w:rsidRDefault="004D1174">
            <w:pPr>
              <w:spacing w:before="40" w:after="40" w:line="269" w:lineRule="auto"/>
              <w:rPr>
                <w:bCs/>
              </w:rPr>
            </w:pPr>
            <w:r>
              <w:rPr>
                <w:bCs/>
              </w:rPr>
              <w:t xml:space="preserve">Medium </w:t>
            </w:r>
            <w:r w:rsidRPr="004D1174">
              <w:rPr>
                <w:b/>
              </w:rPr>
              <w:t>Economic risk</w:t>
            </w:r>
            <w:r>
              <w:rPr>
                <w:bCs/>
              </w:rPr>
              <w:t xml:space="preserve"> in countries like Malaysia and Hong Kong can affect the company’s operation. </w:t>
            </w:r>
          </w:p>
          <w:p w14:paraId="29642B7E" w14:textId="36B2F511" w:rsidR="00C73310" w:rsidRDefault="00000000">
            <w:pPr>
              <w:spacing w:before="40" w:after="40" w:line="269" w:lineRule="auto"/>
              <w:rPr>
                <w:b/>
                <w:u w:val="single"/>
              </w:rPr>
            </w:pPr>
            <w:r>
              <w:rPr>
                <w:b/>
                <w:u w:val="single"/>
              </w:rPr>
              <w:t>Mitigant(s)</w:t>
            </w:r>
          </w:p>
          <w:p w14:paraId="02E55299" w14:textId="6BC52B2D" w:rsidR="00C73310" w:rsidRDefault="004D1174">
            <w:pPr>
              <w:spacing w:before="40" w:after="40" w:line="269" w:lineRule="auto"/>
            </w:pPr>
            <w:r>
              <w:t xml:space="preserve">Malaysia has a high level of private debt but also have low inflation and a resilient banking sector. </w:t>
            </w:r>
          </w:p>
          <w:p w14:paraId="329E788C" w14:textId="35561441" w:rsidR="00C73310" w:rsidRDefault="004D1174">
            <w:pPr>
              <w:spacing w:before="40" w:after="40" w:line="269" w:lineRule="auto"/>
            </w:pPr>
            <w:r>
              <w:t>Hong Kong on the other hand had s</w:t>
            </w:r>
            <w:r w:rsidRPr="004D1174">
              <w:t>trong public debt and liquidity position</w:t>
            </w:r>
            <w:r>
              <w:t xml:space="preserve"> and both are suitable for businesses. </w:t>
            </w:r>
          </w:p>
        </w:tc>
      </w:tr>
      <w:tr w:rsidR="00C73310" w14:paraId="326BD246" w14:textId="77777777">
        <w:tc>
          <w:tcPr>
            <w:tcW w:w="1165" w:type="dxa"/>
            <w:tcBorders>
              <w:top w:val="single" w:sz="4" w:space="0" w:color="FFFFFF"/>
              <w:bottom w:val="single" w:sz="4" w:space="0" w:color="FFFFFF"/>
            </w:tcBorders>
            <w:shd w:val="clear" w:color="auto" w:fill="002951"/>
          </w:tcPr>
          <w:p w14:paraId="3DF439F9" w14:textId="77777777" w:rsidR="00C73310" w:rsidRDefault="00000000">
            <w:pPr>
              <w:spacing w:before="40" w:after="40" w:line="269" w:lineRule="auto"/>
              <w:rPr>
                <w:b/>
                <w:color w:val="FFFFFF"/>
              </w:rPr>
            </w:pPr>
            <w:r>
              <w:rPr>
                <w:b/>
                <w:color w:val="FFFFFF"/>
              </w:rPr>
              <w:t>Risk</w:t>
            </w:r>
          </w:p>
        </w:tc>
        <w:tc>
          <w:tcPr>
            <w:tcW w:w="8185" w:type="dxa"/>
          </w:tcPr>
          <w:p w14:paraId="5D60E7B0" w14:textId="77777777" w:rsidR="00C73310" w:rsidRDefault="00000000">
            <w:pPr>
              <w:spacing w:before="40" w:after="40" w:line="269" w:lineRule="auto"/>
              <w:rPr>
                <w:b/>
                <w:u w:val="single"/>
              </w:rPr>
            </w:pPr>
            <w:r>
              <w:rPr>
                <w:b/>
                <w:u w:val="single"/>
              </w:rPr>
              <w:t>Risk</w:t>
            </w:r>
          </w:p>
          <w:p w14:paraId="22E0A7CD" w14:textId="11BA50A1" w:rsidR="004D1174" w:rsidRPr="004D1174" w:rsidRDefault="004D1174">
            <w:pPr>
              <w:spacing w:before="40" w:after="40" w:line="269" w:lineRule="auto"/>
              <w:rPr>
                <w:bCs/>
              </w:rPr>
            </w:pPr>
            <w:r w:rsidRPr="004D1174">
              <w:rPr>
                <w:bCs/>
              </w:rPr>
              <w:t>Hong Kong has a medium political risk</w:t>
            </w:r>
            <w:r w:rsidR="00217657">
              <w:rPr>
                <w:bCs/>
              </w:rPr>
              <w:t xml:space="preserve"> arises due to tension between China and US. </w:t>
            </w:r>
          </w:p>
          <w:p w14:paraId="00414F4E" w14:textId="4253C606" w:rsidR="00C73310" w:rsidRDefault="00000000">
            <w:pPr>
              <w:spacing w:before="40" w:after="40" w:line="269" w:lineRule="auto"/>
              <w:rPr>
                <w:b/>
                <w:u w:val="single"/>
              </w:rPr>
            </w:pPr>
            <w:r>
              <w:rPr>
                <w:b/>
                <w:u w:val="single"/>
              </w:rPr>
              <w:t>Mitigant(s)</w:t>
            </w:r>
          </w:p>
          <w:p w14:paraId="648C0ECB" w14:textId="5A82A0B0" w:rsidR="00C73310" w:rsidRDefault="004D1174">
            <w:pPr>
              <w:spacing w:before="40" w:after="40" w:line="269" w:lineRule="auto"/>
            </w:pPr>
            <w:r>
              <w:t>Hong Kong is also a gateway to mainland China with a sound business environment</w:t>
            </w:r>
            <w:r w:rsidR="00217657">
              <w:t xml:space="preserve">. </w:t>
            </w:r>
          </w:p>
          <w:p w14:paraId="6C206912" w14:textId="77777777" w:rsidR="00C73310" w:rsidRDefault="00C73310">
            <w:pPr>
              <w:spacing w:before="40" w:after="40" w:line="269" w:lineRule="auto"/>
            </w:pPr>
          </w:p>
        </w:tc>
      </w:tr>
      <w:tr w:rsidR="00C73310" w14:paraId="2D524186" w14:textId="77777777">
        <w:tc>
          <w:tcPr>
            <w:tcW w:w="1165" w:type="dxa"/>
            <w:tcBorders>
              <w:top w:val="single" w:sz="4" w:space="0" w:color="FFFFFF"/>
              <w:bottom w:val="single" w:sz="4" w:space="0" w:color="000000"/>
            </w:tcBorders>
            <w:shd w:val="clear" w:color="auto" w:fill="002951"/>
          </w:tcPr>
          <w:p w14:paraId="6D6E8F49" w14:textId="77777777" w:rsidR="00C73310" w:rsidRDefault="00000000">
            <w:pPr>
              <w:spacing w:before="40" w:after="40" w:line="269" w:lineRule="auto"/>
              <w:rPr>
                <w:b/>
                <w:color w:val="FFFFFF"/>
              </w:rPr>
            </w:pPr>
            <w:r>
              <w:rPr>
                <w:b/>
                <w:color w:val="FFFFFF"/>
              </w:rPr>
              <w:t>Risk</w:t>
            </w:r>
          </w:p>
        </w:tc>
        <w:tc>
          <w:tcPr>
            <w:tcW w:w="8185" w:type="dxa"/>
            <w:tcBorders>
              <w:bottom w:val="single" w:sz="4" w:space="0" w:color="000000"/>
            </w:tcBorders>
          </w:tcPr>
          <w:p w14:paraId="457BC4C7" w14:textId="77777777" w:rsidR="00C73310" w:rsidRDefault="00000000">
            <w:pPr>
              <w:spacing w:before="40" w:after="40" w:line="269" w:lineRule="auto"/>
              <w:rPr>
                <w:b/>
                <w:u w:val="single"/>
              </w:rPr>
            </w:pPr>
            <w:r>
              <w:rPr>
                <w:b/>
                <w:u w:val="single"/>
              </w:rPr>
              <w:t>Risk</w:t>
            </w:r>
          </w:p>
          <w:p w14:paraId="4BF24B73" w14:textId="7ECE34CF" w:rsidR="00217657" w:rsidRPr="00217657" w:rsidRDefault="00217657">
            <w:pPr>
              <w:spacing w:before="40" w:after="40" w:line="269" w:lineRule="auto"/>
              <w:rPr>
                <w:bCs/>
              </w:rPr>
            </w:pPr>
            <w:r w:rsidRPr="00217657">
              <w:rPr>
                <w:bCs/>
              </w:rPr>
              <w:t>Japan</w:t>
            </w:r>
            <w:r>
              <w:rPr>
                <w:bCs/>
              </w:rPr>
              <w:t xml:space="preserve"> has a risk of aging population. </w:t>
            </w:r>
          </w:p>
          <w:p w14:paraId="77ADD906" w14:textId="2DAC7431" w:rsidR="00C73310" w:rsidRDefault="00000000">
            <w:pPr>
              <w:spacing w:before="40" w:after="40" w:line="269" w:lineRule="auto"/>
              <w:rPr>
                <w:b/>
                <w:u w:val="single"/>
              </w:rPr>
            </w:pPr>
            <w:r>
              <w:rPr>
                <w:b/>
                <w:u w:val="single"/>
              </w:rPr>
              <w:t>Mitigant(s)</w:t>
            </w:r>
          </w:p>
          <w:p w14:paraId="636BA640" w14:textId="68DB4634" w:rsidR="00C73310" w:rsidRDefault="00217657">
            <w:pPr>
              <w:spacing w:before="40" w:after="40" w:line="269" w:lineRule="auto"/>
            </w:pPr>
            <w:r>
              <w:t xml:space="preserve">With Premium products designed for the local population, this risk can be mitigated easily. </w:t>
            </w:r>
          </w:p>
          <w:p w14:paraId="33D5D4D2" w14:textId="77777777" w:rsidR="00C73310" w:rsidRDefault="00C73310">
            <w:pPr>
              <w:spacing w:before="40" w:after="40" w:line="269" w:lineRule="auto"/>
              <w:rPr>
                <w:b/>
                <w:u w:val="single"/>
              </w:rPr>
            </w:pPr>
          </w:p>
        </w:tc>
      </w:tr>
    </w:tbl>
    <w:p w14:paraId="47A88539" w14:textId="77777777" w:rsidR="00C73310" w:rsidRDefault="00C73310"/>
    <w:p w14:paraId="270BC9DA" w14:textId="77777777" w:rsidR="00C73310" w:rsidRDefault="00C73310">
      <w:pPr>
        <w:rPr>
          <w:sz w:val="16"/>
          <w:szCs w:val="16"/>
        </w:rPr>
      </w:pPr>
    </w:p>
    <w:p w14:paraId="0A4B8A7D" w14:textId="77777777" w:rsidR="00C73310" w:rsidRDefault="00C73310">
      <w:pPr>
        <w:shd w:val="clear" w:color="auto" w:fill="FFFFFF"/>
        <w:spacing w:after="300"/>
        <w:rPr>
          <w:rFonts w:ascii="Open Sans" w:eastAsia="Open Sans" w:hAnsi="Open Sans" w:cs="Open Sans"/>
          <w:i/>
          <w:color w:val="333333"/>
          <w:sz w:val="16"/>
          <w:szCs w:val="16"/>
        </w:rPr>
      </w:pPr>
    </w:p>
    <w:p w14:paraId="0F0C8C2B" w14:textId="77777777" w:rsidR="00C73310" w:rsidRDefault="00C73310">
      <w:pPr>
        <w:shd w:val="clear" w:color="auto" w:fill="FFFFFF"/>
        <w:spacing w:after="300"/>
        <w:rPr>
          <w:rFonts w:ascii="Open Sans" w:eastAsia="Open Sans" w:hAnsi="Open Sans" w:cs="Open Sans"/>
          <w:i/>
          <w:color w:val="333333"/>
          <w:sz w:val="16"/>
          <w:szCs w:val="16"/>
        </w:rPr>
      </w:pPr>
    </w:p>
    <w:p w14:paraId="6F6A0E48" w14:textId="77777777" w:rsidR="00C73310" w:rsidRDefault="00000000">
      <w:pPr>
        <w:shd w:val="clear" w:color="auto" w:fill="FFFFFF"/>
        <w:spacing w:after="300"/>
        <w:rPr>
          <w:rFonts w:ascii="Open Sans" w:eastAsia="Open Sans" w:hAnsi="Open Sans" w:cs="Open Sans"/>
          <w:i/>
          <w:color w:val="333333"/>
          <w:sz w:val="16"/>
          <w:szCs w:val="16"/>
        </w:rPr>
      </w:pPr>
      <w:r>
        <w:rPr>
          <w:rFonts w:ascii="Open Sans" w:eastAsia="Open Sans" w:hAnsi="Open Sans" w:cs="Open Sans"/>
          <w:i/>
          <w:color w:val="333333"/>
          <w:sz w:val="16"/>
          <w:szCs w:val="16"/>
        </w:rPr>
        <w:t>This Virtual Experience is designed and produced by InsideSherpa Inc (d/b/a Forage, a Delaware incorporation located at 251 Little Falls Drive, Wilmington, Delaware, 19808-1675 United States of America (“Forage”)) for educational purposes only and is subject to the terms and conditions of this website.</w:t>
      </w:r>
    </w:p>
    <w:p w14:paraId="52B2D6FE" w14:textId="77777777" w:rsidR="00C73310" w:rsidRDefault="00000000">
      <w:pPr>
        <w:shd w:val="clear" w:color="auto" w:fill="FFFFFF"/>
        <w:spacing w:after="300"/>
        <w:rPr>
          <w:rFonts w:ascii="Open Sans" w:eastAsia="Open Sans" w:hAnsi="Open Sans" w:cs="Open Sans"/>
          <w:i/>
          <w:color w:val="333333"/>
          <w:sz w:val="16"/>
          <w:szCs w:val="16"/>
        </w:rPr>
      </w:pPr>
      <w:r>
        <w:rPr>
          <w:rFonts w:ascii="Open Sans" w:eastAsia="Open Sans" w:hAnsi="Open Sans" w:cs="Open Sans"/>
          <w:i/>
          <w:color w:val="333333"/>
          <w:sz w:val="16"/>
          <w:szCs w:val="16"/>
        </w:rPr>
        <w:lastRenderedPageBreak/>
        <w:t xml:space="preserve">Nothing presented in this Virtual Experience should be taken as an accurate representation of the HSBC Group’s views or the work undertaken by the HSBC Group. Nothing in this Virtual Experience is intended to promote or advertise any product or service by any member of the HSBC Group of companies. To learn more about HSBC Group’s business visit </w:t>
      </w:r>
      <w:hyperlink r:id="rId7">
        <w:r>
          <w:rPr>
            <w:rFonts w:ascii="Open Sans" w:eastAsia="Open Sans" w:hAnsi="Open Sans" w:cs="Open Sans"/>
            <w:i/>
            <w:color w:val="1155CC"/>
            <w:sz w:val="16"/>
            <w:szCs w:val="16"/>
            <w:u w:val="single"/>
          </w:rPr>
          <w:t>www.hsbc.com</w:t>
        </w:r>
      </w:hyperlink>
      <w:r>
        <w:rPr>
          <w:rFonts w:ascii="Open Sans" w:eastAsia="Open Sans" w:hAnsi="Open Sans" w:cs="Open Sans"/>
          <w:i/>
          <w:color w:val="333333"/>
          <w:sz w:val="16"/>
          <w:szCs w:val="16"/>
        </w:rPr>
        <w:t>.</w:t>
      </w:r>
    </w:p>
    <w:p w14:paraId="31EEAB69" w14:textId="77777777" w:rsidR="00C73310" w:rsidRDefault="00000000">
      <w:pPr>
        <w:shd w:val="clear" w:color="auto" w:fill="FFFFFF"/>
        <w:spacing w:after="300"/>
        <w:rPr>
          <w:sz w:val="16"/>
          <w:szCs w:val="16"/>
        </w:rPr>
      </w:pPr>
      <w:r>
        <w:rPr>
          <w:rFonts w:ascii="Open Sans" w:eastAsia="Open Sans" w:hAnsi="Open Sans" w:cs="Open Sans"/>
          <w:i/>
          <w:color w:val="333333"/>
          <w:sz w:val="16"/>
          <w:szCs w:val="16"/>
        </w:rPr>
        <w:t>All tasks, materials, companies and people featured in this Virtual Experience are simulated and entirely fictional. Any resemblance to real persons (either living or dead) or other real-life entities is purely coincidental.</w:t>
      </w:r>
    </w:p>
    <w:sectPr w:rsidR="00C7331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6165E" w14:textId="77777777" w:rsidR="001B2B73" w:rsidRDefault="001B2B73">
      <w:r>
        <w:separator/>
      </w:r>
    </w:p>
  </w:endnote>
  <w:endnote w:type="continuationSeparator" w:id="0">
    <w:p w14:paraId="017B8D07" w14:textId="77777777" w:rsidR="001B2B73" w:rsidRDefault="001B2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535C" w14:textId="77777777" w:rsidR="00C73310" w:rsidRDefault="00C73310">
    <w:pPr>
      <w:pBdr>
        <w:top w:val="nil"/>
        <w:left w:val="nil"/>
        <w:bottom w:val="nil"/>
        <w:right w:val="nil"/>
        <w:between w:val="nil"/>
      </w:pBdr>
      <w:tabs>
        <w:tab w:val="center" w:pos="4680"/>
        <w:tab w:val="right" w:pos="9360"/>
      </w:tabs>
      <w:rPr>
        <w:rFonts w:eastAsia="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C6563" w14:textId="77777777" w:rsidR="00C73310" w:rsidRDefault="00000000">
    <w:pPr>
      <w:pBdr>
        <w:top w:val="nil"/>
        <w:left w:val="nil"/>
        <w:bottom w:val="nil"/>
        <w:right w:val="nil"/>
        <w:between w:val="nil"/>
      </w:pBdr>
      <w:tabs>
        <w:tab w:val="center" w:pos="4680"/>
        <w:tab w:val="right" w:pos="9360"/>
      </w:tabs>
      <w:rPr>
        <w:rFonts w:eastAsia="Arial" w:cs="Arial"/>
      </w:rPr>
    </w:pPr>
    <w:r>
      <w:rPr>
        <w:noProof/>
      </w:rPr>
      <mc:AlternateContent>
        <mc:Choice Requires="wps">
          <w:drawing>
            <wp:anchor distT="0" distB="0" distL="114300" distR="114300" simplePos="0" relativeHeight="251658240" behindDoc="0" locked="0" layoutInCell="1" hidden="0" allowOverlap="1" wp14:anchorId="48125629" wp14:editId="0280382B">
              <wp:simplePos x="0" y="0"/>
              <wp:positionH relativeFrom="column">
                <wp:posOffset>-914399</wp:posOffset>
              </wp:positionH>
              <wp:positionV relativeFrom="paragraph">
                <wp:posOffset>9588500</wp:posOffset>
              </wp:positionV>
              <wp:extent cx="7781925" cy="282575"/>
              <wp:effectExtent l="0" t="0" r="0" b="0"/>
              <wp:wrapNone/>
              <wp:docPr id="2" name="Rectangle 2" descr="{&quot;HashCode&quot;:-20471079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1459800" y="3643475"/>
                        <a:ext cx="7772400" cy="273050"/>
                      </a:xfrm>
                      <a:prstGeom prst="rect">
                        <a:avLst/>
                      </a:prstGeom>
                      <a:noFill/>
                      <a:ln>
                        <a:noFill/>
                      </a:ln>
                    </wps:spPr>
                    <wps:txbx>
                      <w:txbxContent>
                        <w:p w14:paraId="0BF771DC" w14:textId="77777777" w:rsidR="00C73310" w:rsidRDefault="00000000">
                          <w:pPr>
                            <w:jc w:val="center"/>
                            <w:textDirection w:val="btLr"/>
                          </w:pPr>
                          <w:r>
                            <w:rPr>
                              <w:rFonts w:ascii="Calibri" w:eastAsia="Calibri" w:hAnsi="Calibri" w:cs="Calibri"/>
                              <w:sz w:val="20"/>
                            </w:rPr>
                            <w:t>RESTRICTED</w:t>
                          </w:r>
                        </w:p>
                      </w:txbxContent>
                    </wps:txbx>
                    <wps:bodyPr spcFirstLastPara="1" wrap="square" lIns="91425" tIns="0" rIns="91425" bIns="0" anchor="b" anchorCtr="0">
                      <a:noAutofit/>
                    </wps:bodyPr>
                  </wps:wsp>
                </a:graphicData>
              </a:graphic>
            </wp:anchor>
          </w:drawing>
        </mc:Choice>
        <mc:Fallback>
          <w:pict>
            <v:rect w14:anchorId="48125629" id="Rectangle 2" o:spid="_x0000_s1026" alt="{&quot;HashCode&quot;:-204710794,&quot;Height&quot;:792.0,&quot;Width&quot;:612.0,&quot;Placement&quot;:&quot;Footer&quot;,&quot;Index&quot;:&quot;Primary&quot;,&quot;Section&quot;:1,&quot;Top&quot;:0.0,&quot;Left&quot;:0.0}" style="position:absolute;margin-left:-1in;margin-top:755pt;width:612.75pt;height:22.2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" filled="f" stroked="f">
              <v:textbox inset="2.53958mm,0,2.53958mm,0">
                <w:txbxContent>
                  <w:p w14:paraId="0BF771DC" w14:textId="77777777" w:rsidR="00C73310" w:rsidRDefault="00000000">
                    <w:pPr>
                      <w:jc w:val="center"/>
                      <w:textDirection w:val="btLr"/>
                    </w:pPr>
                    <w:r>
                      <w:rPr>
                        <w:rFonts w:ascii="Calibri" w:eastAsia="Calibri" w:hAnsi="Calibri" w:cs="Calibri"/>
                        <w:sz w:val="20"/>
                      </w:rPr>
                      <w:t>RESTRICTED</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9835E" w14:textId="77777777" w:rsidR="00C73310" w:rsidRDefault="00C73310">
    <w:pPr>
      <w:pBdr>
        <w:top w:val="nil"/>
        <w:left w:val="nil"/>
        <w:bottom w:val="nil"/>
        <w:right w:val="nil"/>
        <w:between w:val="nil"/>
      </w:pBdr>
      <w:tabs>
        <w:tab w:val="center" w:pos="4680"/>
        <w:tab w:val="right" w:pos="9360"/>
      </w:tabs>
      <w:rPr>
        <w:rFonts w:eastAsia="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52B37" w14:textId="77777777" w:rsidR="001B2B73" w:rsidRDefault="001B2B73">
      <w:r>
        <w:separator/>
      </w:r>
    </w:p>
  </w:footnote>
  <w:footnote w:type="continuationSeparator" w:id="0">
    <w:p w14:paraId="7DB369EA" w14:textId="77777777" w:rsidR="001B2B73" w:rsidRDefault="001B2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431A6" w14:textId="77777777" w:rsidR="00C73310" w:rsidRDefault="00C73310">
    <w:pPr>
      <w:pBdr>
        <w:top w:val="nil"/>
        <w:left w:val="nil"/>
        <w:bottom w:val="nil"/>
        <w:right w:val="nil"/>
        <w:between w:val="nil"/>
      </w:pBdr>
      <w:tabs>
        <w:tab w:val="center" w:pos="4680"/>
        <w:tab w:val="right" w:pos="9360"/>
      </w:tabs>
      <w:rPr>
        <w:rFonts w:eastAsia="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147DE" w14:textId="77777777" w:rsidR="00C73310" w:rsidRDefault="00C73310">
    <w:pPr>
      <w:pBdr>
        <w:top w:val="nil"/>
        <w:left w:val="nil"/>
        <w:bottom w:val="nil"/>
        <w:right w:val="nil"/>
        <w:between w:val="nil"/>
      </w:pBdr>
      <w:tabs>
        <w:tab w:val="center" w:pos="4680"/>
        <w:tab w:val="right" w:pos="9360"/>
      </w:tabs>
      <w:rPr>
        <w:rFonts w:eastAsia="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4AB5B" w14:textId="77777777" w:rsidR="00C73310" w:rsidRDefault="00C73310">
    <w:pPr>
      <w:pBdr>
        <w:top w:val="nil"/>
        <w:left w:val="nil"/>
        <w:bottom w:val="nil"/>
        <w:right w:val="nil"/>
        <w:between w:val="nil"/>
      </w:pBdr>
      <w:tabs>
        <w:tab w:val="center" w:pos="4680"/>
        <w:tab w:val="right" w:pos="9360"/>
      </w:tabs>
      <w:rPr>
        <w:rFonts w:eastAsia="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310"/>
    <w:rsid w:val="00035ABD"/>
    <w:rsid w:val="001A52DA"/>
    <w:rsid w:val="001B2B73"/>
    <w:rsid w:val="00217657"/>
    <w:rsid w:val="003F4AEE"/>
    <w:rsid w:val="004D1174"/>
    <w:rsid w:val="00964F1E"/>
    <w:rsid w:val="00A51983"/>
    <w:rsid w:val="00AE7D3F"/>
    <w:rsid w:val="00C73310"/>
    <w:rsid w:val="00D77C15"/>
    <w:rsid w:val="00EF216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D8F0"/>
  <w15:docId w15:val="{F140293A-2C74-4AAA-A582-A500C6A0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2C7"/>
    <w:rPr>
      <w:rFonts w:eastAsia="MS Mincho" w:cs="Times New Roman"/>
      <w:color w:val="000000"/>
      <w:lang w:eastAsia="ja-JP"/>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rsid w:val="00AE62C7"/>
    <w:pPr>
      <w:ind w:left="720"/>
      <w:contextualSpacing/>
    </w:pPr>
    <w:rPr>
      <w:rFonts w:ascii="Times New Roman" w:eastAsia="Batang" w:hAnsi="Times New Roman"/>
      <w:color w:val="auto"/>
      <w:sz w:val="20"/>
      <w:szCs w:val="20"/>
      <w:lang w:val="en-GB" w:eastAsia="en-US"/>
    </w:rPr>
  </w:style>
  <w:style w:type="table" w:styleId="TableGrid">
    <w:name w:val="Table Grid"/>
    <w:basedOn w:val="TableNormal"/>
    <w:uiPriority w:val="39"/>
    <w:rsid w:val="00AE62C7"/>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AE62C7"/>
    <w:rPr>
      <w:rFonts w:ascii="Times New Roman" w:eastAsia="Batang" w:hAnsi="Times New Roman" w:cs="Times New Roman"/>
      <w:sz w:val="20"/>
      <w:szCs w:val="20"/>
      <w:lang w:val="en-GB"/>
    </w:rPr>
  </w:style>
  <w:style w:type="paragraph" w:styleId="NoSpacing">
    <w:name w:val="No Spacing"/>
    <w:aliases w:val="Harsha"/>
    <w:link w:val="NoSpacingChar"/>
    <w:uiPriority w:val="1"/>
    <w:qFormat/>
    <w:rsid w:val="00AE62C7"/>
    <w:rPr>
      <w:rFonts w:ascii="Calibri" w:eastAsia="Calibri" w:hAnsi="Calibri" w:cs="Times New Roman"/>
    </w:rPr>
  </w:style>
  <w:style w:type="character" w:customStyle="1" w:styleId="NoSpacingChar">
    <w:name w:val="No Spacing Char"/>
    <w:aliases w:val="Harsha Char"/>
    <w:basedOn w:val="DefaultParagraphFont"/>
    <w:link w:val="NoSpacing"/>
    <w:uiPriority w:val="1"/>
    <w:rsid w:val="00AE62C7"/>
    <w:rPr>
      <w:rFonts w:ascii="Calibri" w:eastAsia="Calibri" w:hAnsi="Calibri" w:cs="Times New Roman"/>
    </w:rPr>
  </w:style>
  <w:style w:type="paragraph" w:styleId="Header">
    <w:name w:val="header"/>
    <w:basedOn w:val="Normal"/>
    <w:link w:val="HeaderChar"/>
    <w:uiPriority w:val="99"/>
    <w:unhideWhenUsed/>
    <w:rsid w:val="00AE62C7"/>
    <w:pPr>
      <w:tabs>
        <w:tab w:val="center" w:pos="4680"/>
        <w:tab w:val="right" w:pos="9360"/>
      </w:tabs>
    </w:pPr>
  </w:style>
  <w:style w:type="character" w:customStyle="1" w:styleId="HeaderChar">
    <w:name w:val="Header Char"/>
    <w:basedOn w:val="DefaultParagraphFont"/>
    <w:link w:val="Header"/>
    <w:uiPriority w:val="99"/>
    <w:rsid w:val="00AE62C7"/>
    <w:rPr>
      <w:rFonts w:ascii="Arial" w:eastAsia="MS Mincho" w:hAnsi="Arial" w:cs="Times New Roman"/>
      <w:color w:val="000000"/>
      <w:sz w:val="24"/>
      <w:szCs w:val="24"/>
      <w:lang w:eastAsia="ja-JP"/>
    </w:rPr>
  </w:style>
  <w:style w:type="paragraph" w:styleId="Footer">
    <w:name w:val="footer"/>
    <w:basedOn w:val="Normal"/>
    <w:link w:val="FooterChar"/>
    <w:uiPriority w:val="99"/>
    <w:unhideWhenUsed/>
    <w:rsid w:val="00AE62C7"/>
    <w:pPr>
      <w:tabs>
        <w:tab w:val="center" w:pos="4680"/>
        <w:tab w:val="right" w:pos="9360"/>
      </w:tabs>
    </w:pPr>
  </w:style>
  <w:style w:type="character" w:customStyle="1" w:styleId="FooterChar">
    <w:name w:val="Footer Char"/>
    <w:basedOn w:val="DefaultParagraphFont"/>
    <w:link w:val="Footer"/>
    <w:uiPriority w:val="99"/>
    <w:rsid w:val="00AE62C7"/>
    <w:rPr>
      <w:rFonts w:ascii="Arial" w:eastAsia="MS Mincho" w:hAnsi="Arial" w:cs="Times New Roman"/>
      <w:color w:val="000000"/>
      <w:sz w:val="24"/>
      <w:szCs w:val="24"/>
      <w:lang w:eastAsia="ja-JP"/>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sz w:val="20"/>
      <w:szCs w:val="20"/>
    </w:rPr>
    <w:tblPr>
      <w:tblStyleRowBandSize w:val="1"/>
      <w:tblStyleColBandSize w:val="1"/>
    </w:tblPr>
  </w:style>
  <w:style w:type="table" w:customStyle="1" w:styleId="a0">
    <w:basedOn w:val="TableNormal"/>
    <w:rPr>
      <w:rFonts w:ascii="Times New Roman" w:eastAsia="Times New Roman" w:hAnsi="Times New Roman" w:cs="Times New Roman"/>
      <w:sz w:val="20"/>
      <w:szCs w:val="20"/>
    </w:rPr>
    <w:tblPr>
      <w:tblStyleRowBandSize w:val="1"/>
      <w:tblStyleColBandSize w:val="1"/>
    </w:tblPr>
  </w:style>
  <w:style w:type="paragraph" w:styleId="NormalWeb">
    <w:name w:val="Normal (Web)"/>
    <w:basedOn w:val="Normal"/>
    <w:uiPriority w:val="99"/>
    <w:semiHidden/>
    <w:unhideWhenUsed/>
    <w:rsid w:val="00964F1E"/>
    <w:pPr>
      <w:spacing w:before="100" w:beforeAutospacing="1" w:after="100" w:afterAutospacing="1"/>
    </w:pPr>
    <w:rPr>
      <w:rFonts w:ascii="Times New Roman" w:eastAsia="Times New Roman" w:hAnsi="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568681">
      <w:bodyDiv w:val="1"/>
      <w:marLeft w:val="0"/>
      <w:marRight w:val="0"/>
      <w:marTop w:val="0"/>
      <w:marBottom w:val="0"/>
      <w:divBdr>
        <w:top w:val="none" w:sz="0" w:space="0" w:color="auto"/>
        <w:left w:val="none" w:sz="0" w:space="0" w:color="auto"/>
        <w:bottom w:val="none" w:sz="0" w:space="0" w:color="auto"/>
        <w:right w:val="none" w:sz="0" w:space="0" w:color="auto"/>
      </w:divBdr>
    </w:div>
    <w:div w:id="1078552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hsbc.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xR8jlw9gl91ai5QYAp13fkPOSg==">CgMxLjA4AHIhMVRHNTZnR0RhNEIxSjlOU1l5NHJZSmlWV3pacVVuS2tF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 Filipczak</dc:creator>
  <cp:lastModifiedBy>Ramakant  Sonakiya</cp:lastModifiedBy>
  <cp:revision>5</cp:revision>
  <dcterms:created xsi:type="dcterms:W3CDTF">2021-05-18T15:07:00Z</dcterms:created>
  <dcterms:modified xsi:type="dcterms:W3CDTF">2025-01-18T08:06:00Z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51b4f6-a95e-46a7-8457-84c26f440032_Enabled">
    <vt:lpwstr>true</vt:lpwstr>
  </property>
  <property fmtid="{D5CDD505-2E9C-101B-9397-08002B2CF9AE}" pid="3" name="MSIP_Label_f851b4f6-a95e-46a7-8457-84c26f440032_SetDate">
    <vt:lpwstr>2021-05-18T15:14:22Z</vt:lpwstr>
  </property>
  <property fmtid="{D5CDD505-2E9C-101B-9397-08002B2CF9AE}" pid="4" name="MSIP_Label_f851b4f6-a95e-46a7-8457-84c26f440032_Method">
    <vt:lpwstr>Privileged</vt:lpwstr>
  </property>
  <property fmtid="{D5CDD505-2E9C-101B-9397-08002B2CF9AE}" pid="5" name="MSIP_Label_f851b4f6-a95e-46a7-8457-84c26f440032_Name">
    <vt:lpwstr>CLARESTRI</vt:lpwstr>
  </property>
  <property fmtid="{D5CDD505-2E9C-101B-9397-08002B2CF9AE}" pid="6" name="MSIP_Label_f851b4f6-a95e-46a7-8457-84c26f440032_SiteId">
    <vt:lpwstr>e0fd434d-ba64-497b-90d2-859c472e1a92</vt:lpwstr>
  </property>
  <property fmtid="{D5CDD505-2E9C-101B-9397-08002B2CF9AE}" pid="7" name="MSIP_Label_f851b4f6-a95e-46a7-8457-84c26f440032_ActionId">
    <vt:lpwstr>82eb5f6f-b3e8-46a4-a61c-d8f816500ad8</vt:lpwstr>
  </property>
  <property fmtid="{D5CDD505-2E9C-101B-9397-08002B2CF9AE}" pid="8" name="MSIP_Label_f851b4f6-a95e-46a7-8457-84c26f440032_ContentBits">
    <vt:lpwstr>2</vt:lpwstr>
  </property>
  <property fmtid="{D5CDD505-2E9C-101B-9397-08002B2CF9AE}" pid="9" name="Classification">
    <vt:lpwstr>RESTRICTED</vt:lpwstr>
  </property>
</Properties>
</file>