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E44B8" w14:textId="3D93DDE3" w:rsidR="004A0A6C" w:rsidRPr="004A0A6C" w:rsidRDefault="004A0A6C" w:rsidP="002B4D60">
      <w:pPr>
        <w:spacing w:after="0"/>
        <w:jc w:val="both"/>
        <w:rPr>
          <w:rFonts w:cstheme="minorHAnsi"/>
        </w:rPr>
      </w:pPr>
      <w:r w:rsidRPr="004A0A6C">
        <w:rPr>
          <w:rFonts w:cstheme="minorHAnsi"/>
        </w:rPr>
        <w:t>Hello Relationship Manager,</w:t>
      </w:r>
    </w:p>
    <w:p w14:paraId="385F30B8" w14:textId="7F23E0FE" w:rsidR="004A0A6C" w:rsidRPr="004A0A6C" w:rsidRDefault="004A0A6C" w:rsidP="002B4D60">
      <w:pPr>
        <w:spacing w:after="0"/>
        <w:ind w:firstLine="720"/>
        <w:jc w:val="both"/>
        <w:rPr>
          <w:rFonts w:cstheme="minorHAnsi"/>
        </w:rPr>
      </w:pPr>
      <w:r w:rsidRPr="004A0A6C">
        <w:rPr>
          <w:rFonts w:cstheme="minorHAnsi"/>
        </w:rPr>
        <w:t xml:space="preserve">I trust this message finds you well. In our ongoing pursuit of strategic investments, </w:t>
      </w:r>
      <w:r w:rsidR="002B4D60">
        <w:rPr>
          <w:rFonts w:cstheme="minorHAnsi"/>
        </w:rPr>
        <w:t>I</w:t>
      </w:r>
      <w:r w:rsidRPr="004A0A6C">
        <w:rPr>
          <w:rFonts w:cstheme="minorHAnsi"/>
        </w:rPr>
        <w:t xml:space="preserve"> have been exploring opportunities that cater to both our large global technology company's goals and the interests of our sophisticated Swiss hedge fund manager client, who is keen on capitalizing on emerging markets with significant delta movements.</w:t>
      </w:r>
    </w:p>
    <w:p w14:paraId="7571CB88" w14:textId="77777777" w:rsidR="004A0A6C" w:rsidRPr="004A0A6C" w:rsidRDefault="004A0A6C" w:rsidP="002B4D60">
      <w:pPr>
        <w:spacing w:after="0"/>
        <w:ind w:firstLine="720"/>
        <w:jc w:val="both"/>
        <w:rPr>
          <w:rFonts w:cstheme="minorHAnsi"/>
        </w:rPr>
      </w:pPr>
      <w:r w:rsidRPr="004A0A6C">
        <w:rPr>
          <w:rFonts w:cstheme="minorHAnsi"/>
        </w:rPr>
        <w:t>Considering our two distinct yet converging objectives, we have identified several avenues that warrant consideration:</w:t>
      </w:r>
    </w:p>
    <w:p w14:paraId="0BF81516" w14:textId="77777777" w:rsidR="002B4D60" w:rsidRDefault="002B4D60" w:rsidP="002B4D60">
      <w:pPr>
        <w:spacing w:after="0"/>
        <w:jc w:val="both"/>
        <w:rPr>
          <w:rFonts w:cstheme="minorHAnsi"/>
        </w:rPr>
      </w:pPr>
    </w:p>
    <w:p w14:paraId="36DCCF92" w14:textId="7E6536E6" w:rsidR="004A0A6C" w:rsidRPr="002B4D60" w:rsidRDefault="004A0A6C" w:rsidP="002B4D60">
      <w:pPr>
        <w:spacing w:after="0"/>
        <w:jc w:val="both"/>
        <w:rPr>
          <w:rFonts w:cstheme="minorHAnsi"/>
          <w:b/>
          <w:bCs/>
        </w:rPr>
      </w:pPr>
      <w:r w:rsidRPr="004A0A6C">
        <w:rPr>
          <w:rFonts w:cstheme="minorHAnsi"/>
        </w:rPr>
        <w:t xml:space="preserve"> </w:t>
      </w:r>
      <w:r w:rsidRPr="002B4D60">
        <w:rPr>
          <w:rFonts w:cstheme="minorHAnsi"/>
          <w:b/>
          <w:bCs/>
          <w:color w:val="000000" w:themeColor="text1"/>
        </w:rPr>
        <w:t>For Company A (Global Tech Company)</w:t>
      </w:r>
    </w:p>
    <w:p w14:paraId="08F7E2EC" w14:textId="77777777" w:rsidR="002B4D60" w:rsidRPr="004A0A6C" w:rsidRDefault="002B4D60" w:rsidP="002B4D60">
      <w:pPr>
        <w:spacing w:after="0"/>
        <w:jc w:val="both"/>
        <w:rPr>
          <w:rFonts w:cstheme="minorHAnsi"/>
        </w:rPr>
      </w:pPr>
    </w:p>
    <w:p w14:paraId="7CC78925" w14:textId="77777777" w:rsidR="004A0A6C" w:rsidRPr="00DD42B2" w:rsidRDefault="004A0A6C" w:rsidP="002B4D60">
      <w:pPr>
        <w:numPr>
          <w:ilvl w:val="0"/>
          <w:numId w:val="1"/>
        </w:numPr>
        <w:spacing w:after="0"/>
        <w:jc w:val="both"/>
        <w:rPr>
          <w:rFonts w:eastAsia="Times New Roman" w:cstheme="minorHAnsi"/>
          <w:color w:val="000000" w:themeColor="text1"/>
          <w:kern w:val="0"/>
          <w:lang w:bidi="hi-IN"/>
          <w14:ligatures w14:val="none"/>
        </w:rPr>
      </w:pPr>
      <w:r w:rsidRPr="00DD42B2">
        <w:rPr>
          <w:rFonts w:eastAsia="Times New Roman" w:cstheme="minorHAnsi"/>
          <w:b/>
          <w:bCs/>
          <w:color w:val="000000" w:themeColor="text1"/>
          <w:kern w:val="0"/>
          <w:lang w:bidi="hi-IN"/>
          <w14:ligatures w14:val="none"/>
        </w:rPr>
        <w:t>Currencies</w:t>
      </w:r>
      <w:r w:rsidRPr="00DD42B2">
        <w:rPr>
          <w:rFonts w:eastAsia="Times New Roman" w:cstheme="minorHAnsi"/>
          <w:color w:val="000000" w:themeColor="text1"/>
          <w:kern w:val="0"/>
          <w:lang w:bidi="hi-IN"/>
          <w14:ligatures w14:val="none"/>
        </w:rPr>
        <w:t>: Investing in foreign currencies can be a way to manage currency risk, especially if the company operates globally. However, this is often done as part of a risk management strategy rather than as a profit-generating investment.</w:t>
      </w:r>
    </w:p>
    <w:p w14:paraId="0DE54662" w14:textId="77777777" w:rsidR="004A0A6C" w:rsidRPr="00DD42B2" w:rsidRDefault="004A0A6C" w:rsidP="002B4D60">
      <w:pPr>
        <w:numPr>
          <w:ilvl w:val="0"/>
          <w:numId w:val="1"/>
        </w:numPr>
        <w:spacing w:after="0"/>
        <w:jc w:val="both"/>
        <w:rPr>
          <w:rFonts w:eastAsia="Times New Roman" w:cstheme="minorHAnsi"/>
          <w:color w:val="000000" w:themeColor="text1"/>
          <w:kern w:val="0"/>
          <w:lang w:bidi="hi-IN"/>
          <w14:ligatures w14:val="none"/>
        </w:rPr>
      </w:pPr>
      <w:r w:rsidRPr="00DD42B2">
        <w:rPr>
          <w:rFonts w:eastAsia="Times New Roman" w:cstheme="minorHAnsi"/>
          <w:b/>
          <w:bCs/>
          <w:color w:val="000000" w:themeColor="text1"/>
          <w:kern w:val="0"/>
          <w:lang w:bidi="hi-IN"/>
          <w14:ligatures w14:val="none"/>
        </w:rPr>
        <w:t>Precious Metals</w:t>
      </w:r>
      <w:r w:rsidRPr="00DD42B2">
        <w:rPr>
          <w:rFonts w:eastAsia="Times New Roman" w:cstheme="minorHAnsi"/>
          <w:color w:val="000000" w:themeColor="text1"/>
          <w:kern w:val="0"/>
          <w:lang w:bidi="hi-IN"/>
          <w14:ligatures w14:val="none"/>
        </w:rPr>
        <w:t>: Precious metals like gold and silver are considered safe-haven assets. They can be a store of value during economic uncertainty. Tech companies might consider investing in them as a hedge against economic downturns or as part of a diversified investment portfolio.</w:t>
      </w:r>
    </w:p>
    <w:p w14:paraId="6BDCC425" w14:textId="77777777" w:rsidR="004A0A6C" w:rsidRPr="00DD42B2" w:rsidRDefault="004A0A6C" w:rsidP="002B4D60">
      <w:pPr>
        <w:numPr>
          <w:ilvl w:val="0"/>
          <w:numId w:val="1"/>
        </w:numPr>
        <w:spacing w:after="0"/>
        <w:jc w:val="both"/>
        <w:rPr>
          <w:rFonts w:eastAsia="Times New Roman" w:cstheme="minorHAnsi"/>
          <w:color w:val="000000" w:themeColor="text1"/>
          <w:kern w:val="0"/>
          <w:lang w:bidi="hi-IN"/>
          <w14:ligatures w14:val="none"/>
        </w:rPr>
      </w:pPr>
      <w:r w:rsidRPr="00DD42B2">
        <w:rPr>
          <w:rFonts w:eastAsia="Times New Roman" w:cstheme="minorHAnsi"/>
          <w:b/>
          <w:bCs/>
          <w:color w:val="000000" w:themeColor="text1"/>
          <w:kern w:val="0"/>
          <w:lang w:bidi="hi-IN"/>
          <w14:ligatures w14:val="none"/>
        </w:rPr>
        <w:t>Industrial Commodities</w:t>
      </w:r>
      <w:r w:rsidRPr="00DD42B2">
        <w:rPr>
          <w:rFonts w:eastAsia="Times New Roman" w:cstheme="minorHAnsi"/>
          <w:color w:val="000000" w:themeColor="text1"/>
          <w:kern w:val="0"/>
          <w:lang w:bidi="hi-IN"/>
          <w14:ligatures w14:val="none"/>
        </w:rPr>
        <w:t>: Industrial commodities like rubber and steel can be relevant for tech companies with manufacturing or supply chain operations. Investing in these commodities can help stabilize costs and ensure a reliable supply chain.</w:t>
      </w:r>
    </w:p>
    <w:p w14:paraId="1459440F" w14:textId="4402E9A2" w:rsidR="004A0A6C" w:rsidRPr="004A0A6C" w:rsidRDefault="004A0A6C" w:rsidP="002B4D60">
      <w:pPr>
        <w:numPr>
          <w:ilvl w:val="0"/>
          <w:numId w:val="1"/>
        </w:numPr>
        <w:spacing w:after="0"/>
        <w:jc w:val="both"/>
        <w:rPr>
          <w:rFonts w:cstheme="minorHAnsi"/>
          <w:color w:val="000000" w:themeColor="text1"/>
        </w:rPr>
      </w:pPr>
      <w:r w:rsidRPr="00DD42B2">
        <w:rPr>
          <w:rFonts w:eastAsia="Times New Roman" w:cstheme="minorHAnsi"/>
          <w:b/>
          <w:bCs/>
          <w:color w:val="000000" w:themeColor="text1"/>
          <w:kern w:val="0"/>
          <w:lang w:bidi="hi-IN"/>
          <w14:ligatures w14:val="none"/>
        </w:rPr>
        <w:t>Blue-Chip Equities</w:t>
      </w:r>
      <w:r w:rsidRPr="00DD42B2">
        <w:rPr>
          <w:rFonts w:eastAsia="Times New Roman" w:cstheme="minorHAnsi"/>
          <w:color w:val="000000" w:themeColor="text1"/>
          <w:kern w:val="0"/>
          <w:lang w:bidi="hi-IN"/>
          <w14:ligatures w14:val="none"/>
        </w:rPr>
        <w:t xml:space="preserve">: Investing in blue-chip equities </w:t>
      </w:r>
      <w:r w:rsidRPr="004A0A6C">
        <w:rPr>
          <w:rFonts w:eastAsia="Times New Roman" w:cstheme="minorHAnsi"/>
          <w:color w:val="000000" w:themeColor="text1"/>
          <w:kern w:val="0"/>
          <w:lang w:bidi="hi-IN"/>
          <w14:ligatures w14:val="none"/>
        </w:rPr>
        <w:t>provide hedging against technology sector volatility. The technology sector can be volatile due to rapid technological advancements and market dynamics. Investing in blue-chip stocks outside of the technology sector can act as a hedge, providing stability when the technology sector experiences fluctuations.</w:t>
      </w:r>
    </w:p>
    <w:p w14:paraId="5DC8E7F0" w14:textId="77777777" w:rsidR="004A0A6C" w:rsidRPr="004A0A6C" w:rsidRDefault="004A0A6C" w:rsidP="002B4D60">
      <w:pPr>
        <w:spacing w:after="0"/>
        <w:jc w:val="both"/>
        <w:rPr>
          <w:rFonts w:ascii="Segoe UI" w:eastAsia="Times New Roman" w:hAnsi="Segoe UI" w:cs="Segoe UI"/>
          <w:b/>
          <w:bCs/>
          <w:color w:val="374151"/>
          <w:kern w:val="0"/>
          <w:lang w:bidi="hi-IN"/>
          <w14:ligatures w14:val="none"/>
        </w:rPr>
      </w:pPr>
    </w:p>
    <w:p w14:paraId="23CDEA69" w14:textId="05283A31" w:rsidR="00C31106" w:rsidRPr="002B4D60" w:rsidRDefault="004A0A6C" w:rsidP="002B4D60">
      <w:pPr>
        <w:spacing w:after="0"/>
        <w:jc w:val="both"/>
        <w:rPr>
          <w:rFonts w:eastAsia="Times New Roman" w:cstheme="minorHAnsi"/>
          <w:b/>
          <w:bCs/>
          <w:color w:val="000000" w:themeColor="text1"/>
          <w:kern w:val="0"/>
          <w:lang w:bidi="hi-IN"/>
          <w14:ligatures w14:val="none"/>
        </w:rPr>
      </w:pPr>
      <w:r w:rsidRPr="002B4D60">
        <w:rPr>
          <w:rFonts w:eastAsia="Times New Roman" w:cstheme="minorHAnsi"/>
          <w:b/>
          <w:bCs/>
          <w:color w:val="000000" w:themeColor="text1"/>
          <w:kern w:val="0"/>
          <w:lang w:bidi="hi-IN"/>
          <w14:ligatures w14:val="none"/>
        </w:rPr>
        <w:t>For the Company B (Fred Funds)</w:t>
      </w:r>
    </w:p>
    <w:p w14:paraId="1359FDAB" w14:textId="77777777" w:rsidR="002B4D60" w:rsidRPr="004A0A6C" w:rsidRDefault="002B4D60" w:rsidP="002B4D60">
      <w:pPr>
        <w:spacing w:after="0"/>
        <w:jc w:val="both"/>
        <w:rPr>
          <w:rFonts w:ascii="Segoe UI" w:eastAsia="Times New Roman" w:hAnsi="Segoe UI" w:cs="Segoe UI"/>
          <w:b/>
          <w:bCs/>
          <w:color w:val="374151"/>
          <w:kern w:val="0"/>
          <w:lang w:bidi="hi-IN"/>
          <w14:ligatures w14:val="none"/>
        </w:rPr>
      </w:pPr>
    </w:p>
    <w:p w14:paraId="38750C14" w14:textId="77777777" w:rsidR="004A0A6C" w:rsidRPr="00DD42B2" w:rsidRDefault="004A0A6C" w:rsidP="002B4D60">
      <w:pPr>
        <w:numPr>
          <w:ilvl w:val="0"/>
          <w:numId w:val="2"/>
        </w:numPr>
        <w:spacing w:after="0"/>
        <w:jc w:val="both"/>
      </w:pPr>
      <w:r w:rsidRPr="00DD42B2">
        <w:rPr>
          <w:b/>
          <w:bCs/>
        </w:rPr>
        <w:t>Currencies</w:t>
      </w:r>
      <w:r w:rsidRPr="00DD42B2">
        <w:t>: Emerging market currencies can be highly volatile, and they often experience significant delta movements due to economic and geopolitical factors. Currency markets can provide opportunities for speculative trading or hedging strategies.</w:t>
      </w:r>
    </w:p>
    <w:p w14:paraId="7D5D296A" w14:textId="77777777" w:rsidR="004A0A6C" w:rsidRPr="00DD42B2" w:rsidRDefault="004A0A6C" w:rsidP="002B4D60">
      <w:pPr>
        <w:numPr>
          <w:ilvl w:val="0"/>
          <w:numId w:val="2"/>
        </w:numPr>
        <w:spacing w:after="0"/>
        <w:jc w:val="both"/>
      </w:pPr>
      <w:r w:rsidRPr="00DD42B2">
        <w:rPr>
          <w:b/>
          <w:bCs/>
        </w:rPr>
        <w:t>Commodities</w:t>
      </w:r>
      <w:r w:rsidRPr="00DD42B2">
        <w:t>: Many emerging markets are rich in natural resources, making commodities an attractive option for investment. Commodities like oil, metals, and agricultural products in emerging markets can experience substantial price fluctuations, providing opportunities for significant delta movements.</w:t>
      </w:r>
    </w:p>
    <w:p w14:paraId="7A0AB2A7" w14:textId="5E35BF80" w:rsidR="004A0A6C" w:rsidRPr="00DD42B2" w:rsidRDefault="004A0A6C" w:rsidP="002B4D60">
      <w:pPr>
        <w:numPr>
          <w:ilvl w:val="0"/>
          <w:numId w:val="2"/>
        </w:numPr>
        <w:spacing w:after="0"/>
        <w:jc w:val="both"/>
      </w:pPr>
      <w:r w:rsidRPr="00DD42B2">
        <w:rPr>
          <w:b/>
          <w:bCs/>
        </w:rPr>
        <w:t>Australian ASX Equities</w:t>
      </w:r>
      <w:r w:rsidRPr="00DD42B2">
        <w:t>: While Australia itself is not typically considered an emerging market; it has strong economic ties to many emerging markets in the Asia-Pacific region. Investing in Australian equities can indirectly expose the hedge fund manager to emerging market dynamics and potential delta movements.</w:t>
      </w:r>
    </w:p>
    <w:p w14:paraId="0774A749" w14:textId="288693FD" w:rsidR="004A0A6C" w:rsidRPr="00DD42B2" w:rsidRDefault="004A0A6C" w:rsidP="002B4D60">
      <w:pPr>
        <w:numPr>
          <w:ilvl w:val="0"/>
          <w:numId w:val="2"/>
        </w:numPr>
        <w:spacing w:after="0"/>
        <w:jc w:val="both"/>
      </w:pPr>
      <w:r w:rsidRPr="00DD42B2">
        <w:rPr>
          <w:b/>
          <w:bCs/>
        </w:rPr>
        <w:t>Industrial Commodities</w:t>
      </w:r>
      <w:r w:rsidRPr="00DD42B2">
        <w:t xml:space="preserve">: Emerging markets often have growing industrial sectors that drive demand for commodities like steel, </w:t>
      </w:r>
      <w:r>
        <w:t xml:space="preserve">rubber, </w:t>
      </w:r>
      <w:r w:rsidRPr="00DD42B2">
        <w:t>which can experience significant price swings based on economic growth and infrastructure development.</w:t>
      </w:r>
    </w:p>
    <w:p w14:paraId="070ED911" w14:textId="77777777" w:rsidR="002B4D60" w:rsidRDefault="002B4D60" w:rsidP="002B4D60">
      <w:pPr>
        <w:spacing w:after="0"/>
        <w:jc w:val="both"/>
        <w:rPr>
          <w:rFonts w:eastAsia="Times New Roman" w:cstheme="minorHAnsi"/>
          <w:color w:val="000000" w:themeColor="text1"/>
          <w:kern w:val="0"/>
          <w:lang w:bidi="hi-IN"/>
          <w14:ligatures w14:val="none"/>
        </w:rPr>
      </w:pPr>
    </w:p>
    <w:p w14:paraId="2EA3EF69" w14:textId="149A85E2" w:rsidR="002B4D60" w:rsidRDefault="002B4D60" w:rsidP="002B4D60">
      <w:pPr>
        <w:spacing w:after="0"/>
        <w:jc w:val="both"/>
        <w:rPr>
          <w:rFonts w:eastAsia="Times New Roman" w:cstheme="minorHAnsi"/>
          <w:color w:val="000000" w:themeColor="text1"/>
          <w:kern w:val="0"/>
          <w:lang w:bidi="hi-IN"/>
          <w14:ligatures w14:val="none"/>
        </w:rPr>
      </w:pPr>
      <w:r w:rsidRPr="002B4D60">
        <w:rPr>
          <w:rFonts w:eastAsia="Times New Roman" w:cstheme="minorHAnsi"/>
          <w:color w:val="000000" w:themeColor="text1"/>
          <w:kern w:val="0"/>
          <w:lang w:bidi="hi-IN"/>
          <w14:ligatures w14:val="none"/>
        </w:rPr>
        <w:t>Should you wish to delve further into these strategies or explore additional options that best align with our combined goals, please feel free to reach out.</w:t>
      </w:r>
    </w:p>
    <w:p w14:paraId="19492EF7" w14:textId="77777777" w:rsidR="002B4D60" w:rsidRDefault="002B4D60" w:rsidP="002B4D60">
      <w:pPr>
        <w:spacing w:after="0"/>
        <w:jc w:val="both"/>
        <w:rPr>
          <w:rFonts w:eastAsia="Times New Roman" w:cstheme="minorHAnsi"/>
          <w:color w:val="000000" w:themeColor="text1"/>
          <w:kern w:val="0"/>
          <w:lang w:bidi="hi-IN"/>
          <w14:ligatures w14:val="none"/>
        </w:rPr>
      </w:pPr>
    </w:p>
    <w:p w14:paraId="33C46625" w14:textId="5FAA09DC" w:rsidR="002B4D60" w:rsidRDefault="002B4D60" w:rsidP="002B4D60">
      <w:pPr>
        <w:spacing w:after="0"/>
        <w:jc w:val="both"/>
        <w:rPr>
          <w:rFonts w:eastAsia="Times New Roman" w:cstheme="minorHAnsi"/>
          <w:color w:val="000000" w:themeColor="text1"/>
          <w:kern w:val="0"/>
          <w:lang w:bidi="hi-IN"/>
          <w14:ligatures w14:val="none"/>
        </w:rPr>
      </w:pPr>
      <w:r>
        <w:rPr>
          <w:rFonts w:eastAsia="Times New Roman" w:cstheme="minorHAnsi"/>
          <w:color w:val="000000" w:themeColor="text1"/>
          <w:kern w:val="0"/>
          <w:lang w:bidi="hi-IN"/>
          <w14:ligatures w14:val="none"/>
        </w:rPr>
        <w:t>Thank You</w:t>
      </w:r>
    </w:p>
    <w:p w14:paraId="4A56705C" w14:textId="4C0FF862" w:rsidR="002B4D60" w:rsidRPr="002B4D60" w:rsidRDefault="00F6176F" w:rsidP="002B4D60">
      <w:pPr>
        <w:spacing w:after="0"/>
        <w:jc w:val="both"/>
        <w:rPr>
          <w:rFonts w:eastAsia="Times New Roman" w:cstheme="minorHAnsi"/>
          <w:color w:val="000000" w:themeColor="text1"/>
          <w:kern w:val="0"/>
          <w:lang w:bidi="hi-IN"/>
          <w14:ligatures w14:val="none"/>
        </w:rPr>
      </w:pPr>
      <w:proofErr w:type="spellStart"/>
      <w:r>
        <w:rPr>
          <w:rFonts w:eastAsia="Times New Roman" w:cstheme="minorHAnsi"/>
          <w:color w:val="000000" w:themeColor="text1"/>
          <w:kern w:val="0"/>
          <w:lang w:bidi="hi-IN"/>
          <w14:ligatures w14:val="none"/>
        </w:rPr>
        <w:t>SkillSpireSS</w:t>
      </w:r>
      <w:proofErr w:type="spellEnd"/>
    </w:p>
    <w:sectPr w:rsidR="002B4D60" w:rsidRPr="002B4D60" w:rsidSect="002B4D60">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3DBC"/>
    <w:multiLevelType w:val="multilevel"/>
    <w:tmpl w:val="17821C36"/>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 w15:restartNumberingAfterBreak="0">
    <w:nsid w:val="5F30718E"/>
    <w:multiLevelType w:val="multilevel"/>
    <w:tmpl w:val="40AC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2947985">
    <w:abstractNumId w:val="0"/>
  </w:num>
  <w:num w:numId="2" w16cid:durableId="761800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6C"/>
    <w:rsid w:val="002B4D60"/>
    <w:rsid w:val="004A0A6C"/>
    <w:rsid w:val="007306DF"/>
    <w:rsid w:val="00A84E97"/>
    <w:rsid w:val="00C31106"/>
    <w:rsid w:val="00F617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1D39"/>
  <w15:chartTrackingRefBased/>
  <w15:docId w15:val="{FB325ABE-C207-4E54-BD30-F215622E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kuckoo</dc:creator>
  <cp:keywords/>
  <dc:description/>
  <cp:lastModifiedBy>Ramakant  Sonakiya</cp:lastModifiedBy>
  <cp:revision>3</cp:revision>
  <dcterms:created xsi:type="dcterms:W3CDTF">2023-09-02T04:14:00Z</dcterms:created>
  <dcterms:modified xsi:type="dcterms:W3CDTF">2025-01-21T17:17:00Z</dcterms:modified>
</cp:coreProperties>
</file>