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2737351B" w:rsidR="00F24965" w:rsidRPr="00990745" w:rsidRDefault="00DB6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59E7FD8A" w:rsidR="00F24965" w:rsidRPr="00990745" w:rsidRDefault="00F24965">
            <w:pPr>
              <w:rPr>
                <w:sz w:val="20"/>
                <w:szCs w:val="20"/>
              </w:rPr>
            </w:pP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6BD9D473" w:rsidR="00F24965" w:rsidRPr="00990745" w:rsidRDefault="00DB6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Potential M&amp;A targets for Worldwide Brewing co. 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1595DD28" w:rsidR="00AF616A" w:rsidRPr="00AF616A" w:rsidRDefault="00DB69E6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 Anna</w:t>
            </w:r>
          </w:p>
          <w:p w14:paraId="6EBA3190" w14:textId="2949C180" w:rsidR="006624F4" w:rsidRDefault="006624F4" w:rsidP="00DC3063">
            <w:pPr>
              <w:rPr>
                <w:sz w:val="20"/>
                <w:szCs w:val="20"/>
              </w:rPr>
            </w:pPr>
          </w:p>
          <w:p w14:paraId="0D911622" w14:textId="1FFAD417" w:rsidR="009B6A6C" w:rsidRDefault="00DB69E6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Below are the potential M&amp;A targets with descriptions and relevance to </w:t>
            </w:r>
            <w:proofErr w:type="spellStart"/>
            <w:r>
              <w:rPr>
                <w:sz w:val="20"/>
                <w:szCs w:val="20"/>
              </w:rPr>
              <w:t>WorldWide</w:t>
            </w:r>
            <w:proofErr w:type="spellEnd"/>
            <w:r>
              <w:rPr>
                <w:sz w:val="20"/>
                <w:szCs w:val="20"/>
              </w:rPr>
              <w:t xml:space="preserve"> Brewing Co. and my personal recommendation. </w:t>
            </w:r>
          </w:p>
          <w:p w14:paraId="5D68EA3A" w14:textId="77777777" w:rsidR="00DC3063" w:rsidRDefault="00DC3063" w:rsidP="00DC3063">
            <w:pPr>
              <w:rPr>
                <w:sz w:val="20"/>
                <w:szCs w:val="20"/>
              </w:rPr>
            </w:pPr>
          </w:p>
          <w:p w14:paraId="4D587267" w14:textId="77777777" w:rsidR="00DB69E6" w:rsidRPr="00DC3063" w:rsidRDefault="00DB69E6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6"/>
              <w:gridCol w:w="2617"/>
              <w:gridCol w:w="2854"/>
              <w:gridCol w:w="2333"/>
            </w:tblGrid>
            <w:tr w:rsidR="009C44E5" w:rsidRPr="00757AEB" w14:paraId="421F4B46" w14:textId="77777777" w:rsidTr="009C44E5">
              <w:tc>
                <w:tcPr>
                  <w:tcW w:w="1331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Relevance to </w:t>
                  </w: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C44E5" w:rsidRPr="007773A3" w14:paraId="316921FD" w14:textId="77777777" w:rsidTr="009C44E5">
              <w:tc>
                <w:tcPr>
                  <w:tcW w:w="1331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is the largest player in Singapore and Malaysia, in the segments of beer, spirits and non-alcoholic beverages. Its operations include manufacturing facilities, distribution and direct sales and it has demonstrated strong growth in EBITDA in FY2020 which was up 20%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24E8AF8E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r w:rsidR="0008742B"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acquisition relatively simple and feasible.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B9C7CCF" w14:textId="77777777" w:rsidTr="009C44E5">
              <w:tc>
                <w:tcPr>
                  <w:tcW w:w="1331" w:type="dxa"/>
                </w:tcPr>
                <w:p w14:paraId="682DFD08" w14:textId="22B5E0A9" w:rsidR="009B6A6C" w:rsidRDefault="00024DD0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1BF3DA07" w:rsidR="009B6A6C" w:rsidRPr="00757AEB" w:rsidRDefault="00024DD0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is the largest player in Indonesia and Second largest player in Singapore and Malaysia, in the segment of beer, spirits, non-alcoholic beverages. its operations include manufacturing facilities (Indonesia), distribution and direct sales and had a strong growth in EBITDA in FY2020 which was up 40%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US$400mm. </w:t>
                  </w:r>
                </w:p>
              </w:tc>
              <w:tc>
                <w:tcPr>
                  <w:tcW w:w="2893" w:type="dxa"/>
                </w:tcPr>
                <w:p w14:paraId="1A2EB85F" w14:textId="3497AE32" w:rsidR="009B6A6C" w:rsidRDefault="00024DD0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It has a solid financial result and have similar operations to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and is a leading player in Indonesia. The ownership structure is 60% owned by global promoters and 40% by employee, making the potential M&amp;A activity </w:t>
                  </w:r>
                  <w:r w:rsidR="009C44E5">
                    <w:rPr>
                      <w:rFonts w:ascii="Calibri" w:hAnsi="Calibri" w:cs="Calibri"/>
                      <w:sz w:val="20"/>
                      <w:szCs w:val="20"/>
                    </w:rPr>
                    <w:t>not relatively simple but feasible. They are also undergoing cost cutting measures to improve their earning making Spirit Bay appropriate to share.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50" w:type="dxa"/>
                </w:tcPr>
                <w:p w14:paraId="0D63E031" w14:textId="29C702AD" w:rsidR="009B6A6C" w:rsidRDefault="009C44E5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2F211ED" w14:textId="77777777" w:rsidTr="009C44E5">
              <w:tc>
                <w:tcPr>
                  <w:tcW w:w="1331" w:type="dxa"/>
                </w:tcPr>
                <w:p w14:paraId="4A5F2EC8" w14:textId="5D36C50F" w:rsidR="009B6A6C" w:rsidRDefault="009C44E5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Hipsters’ Ale</w:t>
                  </w: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30DC18E4" w:rsidR="009B6A6C" w:rsidRPr="00757AEB" w:rsidRDefault="009C44E5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Hipsters’ Ale operates in Malaysia (HQ), Singapore, Indonesia, Japan, Korea, Cambodia, in the segments of beer and Spirits only. 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Its operations include m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anufactur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ing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from consortium of independent microbreweries in each region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 xml:space="preserve">, distribution and direct sales. Strong EBITDA in FY2020, up by 15% </w:t>
                  </w:r>
                  <w:proofErr w:type="spellStart"/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 xml:space="preserve"> amounted to US$200mm</w:t>
                  </w:r>
                </w:p>
              </w:tc>
              <w:tc>
                <w:tcPr>
                  <w:tcW w:w="2893" w:type="dxa"/>
                </w:tcPr>
                <w:p w14:paraId="740A5886" w14:textId="554C6B4E" w:rsidR="009B6A6C" w:rsidRDefault="00EE7814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Hipster’s Ale operates in only 2 segments of beer and spirits but covers several different countries providing potential strategic advantage and synergies. It has solid financial result but a complex ownership structure with 30 independent breweries making M&amp;A activity complex. However, given the strategic significance it can provide, it would be appropriate to share. </w:t>
                  </w:r>
                </w:p>
              </w:tc>
              <w:tc>
                <w:tcPr>
                  <w:tcW w:w="2350" w:type="dxa"/>
                </w:tcPr>
                <w:p w14:paraId="4BF2F6C7" w14:textId="03407BA3" w:rsidR="009B6A6C" w:rsidRDefault="00EE7814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B9B75B0" w14:textId="77777777" w:rsidTr="009C44E5">
              <w:tc>
                <w:tcPr>
                  <w:tcW w:w="1331" w:type="dxa"/>
                </w:tcPr>
                <w:p w14:paraId="3A4FDEF2" w14:textId="08F9E0B6" w:rsidR="009B6A6C" w:rsidRDefault="00D818AF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Co.</w:t>
                  </w: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721413F3" w:rsidR="009B6A6C" w:rsidRPr="00757AEB" w:rsidRDefault="00D818AF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Brew co</w:t>
                  </w:r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t xml:space="preserve">. is the largest player in Malaysia (HQ), in the segment of beer and spirits and provides manufacturing operations only. It shows a </w:t>
                  </w:r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down in EBITDA US$800mm in FY2020 of 5% </w:t>
                  </w:r>
                  <w:proofErr w:type="spellStart"/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2893" w:type="dxa"/>
                </w:tcPr>
                <w:p w14:paraId="1842CD1D" w14:textId="760ADF88" w:rsidR="009B6A6C" w:rsidRDefault="002D28BB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Limited geographically (Malaysia only) reach and not in line with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co. vision. Ownership structure is complex as the company is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listed in Malaysian stock exchange making the M&amp;A activity complex. Though the company is leading player is Malaysian market that’s why it </w:t>
                  </w:r>
                  <w:r w:rsidR="005700C3">
                    <w:rPr>
                      <w:rFonts w:ascii="Calibri" w:hAnsi="Calibri" w:cs="Calibri"/>
                      <w:sz w:val="20"/>
                      <w:szCs w:val="20"/>
                    </w:rPr>
                    <w:t xml:space="preserve">would </w:t>
                  </w:r>
                  <w:r w:rsidR="005565D8">
                    <w:rPr>
                      <w:rFonts w:ascii="Calibri" w:hAnsi="Calibri" w:cs="Calibri"/>
                      <w:sz w:val="20"/>
                      <w:szCs w:val="20"/>
                    </w:rPr>
                    <w:t xml:space="preserve">not </w:t>
                  </w:r>
                  <w:r w:rsidR="005700C3">
                    <w:rPr>
                      <w:rFonts w:ascii="Calibri" w:hAnsi="Calibri" w:cs="Calibri"/>
                      <w:sz w:val="20"/>
                      <w:szCs w:val="20"/>
                    </w:rPr>
                    <w:t>be appropriate to share.</w:t>
                  </w:r>
                </w:p>
              </w:tc>
              <w:tc>
                <w:tcPr>
                  <w:tcW w:w="2350" w:type="dxa"/>
                </w:tcPr>
                <w:p w14:paraId="55C39798" w14:textId="6FB1C17C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Not Recommend</w:t>
                  </w:r>
                </w:p>
              </w:tc>
            </w:tr>
            <w:tr w:rsidR="009C44E5" w:rsidRPr="007773A3" w14:paraId="14806F80" w14:textId="77777777" w:rsidTr="009C44E5">
              <w:tc>
                <w:tcPr>
                  <w:tcW w:w="1331" w:type="dxa"/>
                </w:tcPr>
                <w:p w14:paraId="6EC317CC" w14:textId="5C24D53A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Bevy’s Direct</w:t>
                  </w:r>
                </w:p>
                <w:p w14:paraId="189BB50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5B964C1A" w:rsidR="009B6A6C" w:rsidRPr="00757AEB" w:rsidRDefault="005700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Operates in Singapore (HQ), Malaysia, China, Indonesia, Japan, Korea, Cambodia, Australia, New Zealand, in the segment of beer, spirits, non-alcoholic beverages. Performs wholesale distribution only and have strong growth in EBITDA US$250mm in FY2020 up 20%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</w:p>
              </w:tc>
              <w:tc>
                <w:tcPr>
                  <w:tcW w:w="2893" w:type="dxa"/>
                </w:tcPr>
                <w:p w14:paraId="33CDC1A4" w14:textId="7611C2A1" w:rsidR="009B6A6C" w:rsidRDefault="005700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Strong geographical reach but operates only in wholesale distribution but that can provide strategic advantage and synergies. Have a strong financial result and relatively simple ownership structure, owned by a single family, making M&amp;A activity simple and feasible. Bevy’s Direct would be appropriate to share. </w:t>
                  </w:r>
                </w:p>
              </w:tc>
              <w:tc>
                <w:tcPr>
                  <w:tcW w:w="2350" w:type="dxa"/>
                </w:tcPr>
                <w:p w14:paraId="778A6CE4" w14:textId="1CEEC219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634AE993" w:rsidR="009B6A6C" w:rsidRDefault="00D76A29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hope this information is useful and let me know if you have any further questions.</w:t>
            </w:r>
          </w:p>
          <w:p w14:paraId="43E031F0" w14:textId="77777777" w:rsidR="00D76A29" w:rsidRDefault="00D76A29" w:rsidP="009B6A6C">
            <w:pPr>
              <w:rPr>
                <w:sz w:val="20"/>
                <w:szCs w:val="20"/>
              </w:rPr>
            </w:pPr>
          </w:p>
          <w:p w14:paraId="1A819304" w14:textId="220F4E52" w:rsidR="00D76A29" w:rsidRDefault="00D76A29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 Regards,</w:t>
            </w:r>
          </w:p>
          <w:p w14:paraId="5CF1D96A" w14:textId="3BFE666D" w:rsidR="00DC3063" w:rsidRPr="00990745" w:rsidRDefault="00DC3063" w:rsidP="00A260C7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A90157" w:rsidRPr="00990745" w:rsidRDefault="00000000">
      <w:pPr>
        <w:rPr>
          <w:sz w:val="20"/>
          <w:szCs w:val="20"/>
        </w:rPr>
      </w:pPr>
    </w:p>
    <w:sectPr w:rsidR="00A9015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8788">
    <w:abstractNumId w:val="1"/>
  </w:num>
  <w:num w:numId="2" w16cid:durableId="2109109014">
    <w:abstractNumId w:val="2"/>
  </w:num>
  <w:num w:numId="3" w16cid:durableId="53851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24DD0"/>
    <w:rsid w:val="0008742B"/>
    <w:rsid w:val="000D64E1"/>
    <w:rsid w:val="001931C6"/>
    <w:rsid w:val="002D28BB"/>
    <w:rsid w:val="0039065E"/>
    <w:rsid w:val="004F2ECF"/>
    <w:rsid w:val="005565D8"/>
    <w:rsid w:val="005700C3"/>
    <w:rsid w:val="006624F4"/>
    <w:rsid w:val="006776F6"/>
    <w:rsid w:val="00861BD9"/>
    <w:rsid w:val="008E07B5"/>
    <w:rsid w:val="00990745"/>
    <w:rsid w:val="009B6A6C"/>
    <w:rsid w:val="009C44E5"/>
    <w:rsid w:val="00A260C7"/>
    <w:rsid w:val="00AA4B34"/>
    <w:rsid w:val="00AF0A56"/>
    <w:rsid w:val="00AF616A"/>
    <w:rsid w:val="00D76A29"/>
    <w:rsid w:val="00D818AF"/>
    <w:rsid w:val="00DB69E6"/>
    <w:rsid w:val="00DC3063"/>
    <w:rsid w:val="00DC50E8"/>
    <w:rsid w:val="00DD42CB"/>
    <w:rsid w:val="00E2685D"/>
    <w:rsid w:val="00EC7B2A"/>
    <w:rsid w:val="00EE7814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Ramakant  Sonakiya</cp:lastModifiedBy>
  <cp:revision>9</cp:revision>
  <cp:lastPrinted>2023-08-09T05:34:00Z</cp:lastPrinted>
  <dcterms:created xsi:type="dcterms:W3CDTF">2020-04-30T07:35:00Z</dcterms:created>
  <dcterms:modified xsi:type="dcterms:W3CDTF">2024-09-01T06:24:00Z</dcterms:modified>
</cp:coreProperties>
</file>