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F24965" w:rsidRPr="00990745" w14:paraId="54E0474B" w14:textId="77777777" w:rsidTr="00990745">
        <w:tc>
          <w:tcPr>
            <w:tcW w:w="993" w:type="dxa"/>
            <w:tcBorders>
              <w:top w:val="single" w:sz="4" w:space="0" w:color="auto"/>
            </w:tcBorders>
          </w:tcPr>
          <w:p w14:paraId="2017DD67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E9568BF" w14:textId="2737351B" w:rsidR="00F24965" w:rsidRPr="00990745" w:rsidRDefault="00DB6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</w:t>
            </w:r>
          </w:p>
        </w:tc>
      </w:tr>
      <w:tr w:rsidR="00F24965" w:rsidRPr="00990745" w14:paraId="37773228" w14:textId="77777777" w:rsidTr="00990745">
        <w:tc>
          <w:tcPr>
            <w:tcW w:w="993" w:type="dxa"/>
          </w:tcPr>
          <w:p w14:paraId="3B1BF544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 w14:textId="6A57E883" w:rsidR="00F24965" w:rsidRPr="00990745" w:rsidRDefault="00DB6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Ramakant Sonakiya</w:t>
            </w:r>
          </w:p>
        </w:tc>
      </w:tr>
      <w:tr w:rsidR="00F24965" w:rsidRPr="00990745" w14:paraId="376B537F" w14:textId="77777777" w:rsidTr="00990745">
        <w:trPr>
          <w:trHeight w:val="320"/>
        </w:trPr>
        <w:tc>
          <w:tcPr>
            <w:tcW w:w="993" w:type="dxa"/>
            <w:tcBorders>
              <w:bottom w:val="single" w:sz="4" w:space="0" w:color="auto"/>
            </w:tcBorders>
          </w:tcPr>
          <w:p w14:paraId="72CC09EF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A61B20" w14:textId="6BD9D473" w:rsidR="00F24965" w:rsidRPr="00990745" w:rsidRDefault="00DB6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Potential M&amp;A targets for Worldwide Brewing co. </w:t>
            </w:r>
          </w:p>
        </w:tc>
      </w:tr>
      <w:tr w:rsidR="00990745" w:rsidRPr="00990745" w14:paraId="452EA0B5" w14:textId="77777777" w:rsidTr="00990745">
        <w:trPr>
          <w:trHeight w:val="12760"/>
        </w:trPr>
        <w:tc>
          <w:tcPr>
            <w:tcW w:w="9356" w:type="dxa"/>
            <w:gridSpan w:val="2"/>
            <w:tcBorders>
              <w:top w:val="single" w:sz="4" w:space="0" w:color="auto"/>
            </w:tcBorders>
          </w:tcPr>
          <w:p w14:paraId="50D61CE4" w14:textId="77777777" w:rsidR="00990745" w:rsidRPr="00990745" w:rsidRDefault="00990745" w:rsidP="00990745">
            <w:pPr>
              <w:rPr>
                <w:sz w:val="20"/>
                <w:szCs w:val="20"/>
              </w:rPr>
            </w:pPr>
          </w:p>
          <w:p w14:paraId="0D5661BB" w14:textId="1595DD28" w:rsidR="00AF616A" w:rsidRPr="00AF616A" w:rsidRDefault="00DB69E6" w:rsidP="003906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Hello Anna</w:t>
            </w:r>
          </w:p>
          <w:p w14:paraId="6EBA3190" w14:textId="2949C180" w:rsidR="006624F4" w:rsidRDefault="006624F4" w:rsidP="00DC3063">
            <w:pPr>
              <w:rPr>
                <w:sz w:val="20"/>
                <w:szCs w:val="20"/>
              </w:rPr>
            </w:pPr>
          </w:p>
          <w:p w14:paraId="0D911622" w14:textId="1FFAD417" w:rsidR="009B6A6C" w:rsidRDefault="00DB69E6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Below are the potential M&amp;A targets with descriptions and relevance to WorldWide Brewing Co. and my personal recommendation. </w:t>
            </w:r>
          </w:p>
          <w:p w14:paraId="5D68EA3A" w14:textId="77777777" w:rsidR="00DC3063" w:rsidRDefault="00DC3063" w:rsidP="00DC3063">
            <w:pPr>
              <w:rPr>
                <w:sz w:val="20"/>
                <w:szCs w:val="20"/>
              </w:rPr>
            </w:pPr>
          </w:p>
          <w:p w14:paraId="4D587267" w14:textId="77777777" w:rsidR="00DB69E6" w:rsidRPr="00DC3063" w:rsidRDefault="00DB69E6" w:rsidP="00DC3063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6"/>
              <w:gridCol w:w="2617"/>
              <w:gridCol w:w="2854"/>
              <w:gridCol w:w="2333"/>
            </w:tblGrid>
            <w:tr w:rsidR="009C44E5" w:rsidRPr="00757AEB" w14:paraId="421F4B46" w14:textId="77777777" w:rsidTr="009C44E5">
              <w:tc>
                <w:tcPr>
                  <w:tcW w:w="1331" w:type="dxa"/>
                </w:tcPr>
                <w:p w14:paraId="60517C97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647" w:type="dxa"/>
                </w:tcPr>
                <w:p w14:paraId="3125A53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893" w:type="dxa"/>
                </w:tcPr>
                <w:p w14:paraId="0C3F17B4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Relevance to WorldWide Brewing</w:t>
                  </w:r>
                </w:p>
                <w:p w14:paraId="6B7D122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382D6F9A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Recommendation</w:t>
                  </w:r>
                </w:p>
              </w:tc>
            </w:tr>
            <w:tr w:rsidR="009C44E5" w:rsidRPr="007773A3" w14:paraId="316921FD" w14:textId="77777777" w:rsidTr="009C44E5">
              <w:tc>
                <w:tcPr>
                  <w:tcW w:w="1331" w:type="dxa"/>
                </w:tcPr>
                <w:p w14:paraId="45979E96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HappyHour Co.</w:t>
                  </w:r>
                </w:p>
              </w:tc>
              <w:tc>
                <w:tcPr>
                  <w:tcW w:w="2647" w:type="dxa"/>
                </w:tcPr>
                <w:p w14:paraId="64ABB862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 Co. is the largest player in Singapore and Malaysia, in the segments of beer, spirits and non-alcoholic beverages. Its operations include manufacturing facilities, distribution and direct sales and it has demonstrated strong growth in EBITDA in FY2020 which was up 20% pcp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US$300mm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2ACD63EA" w14:textId="24E8AF8E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</w:t>
                  </w:r>
                  <w:r w:rsidR="0008742B" w:rsidRPr="00757AEB"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across the same segments and is the leading player in Singapore and 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 owned by 3 families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acquisition relatively simple and feasible. HappyHour Co. would be appropriate to share.</w:t>
                  </w:r>
                </w:p>
              </w:tc>
              <w:tc>
                <w:tcPr>
                  <w:tcW w:w="2350" w:type="dxa"/>
                </w:tcPr>
                <w:p w14:paraId="247ED975" w14:textId="401CA336" w:rsidR="009B6A6C" w:rsidRPr="007773A3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C44E5" w:rsidRPr="007773A3" w14:paraId="4B9C7CCF" w14:textId="77777777" w:rsidTr="009C44E5">
              <w:tc>
                <w:tcPr>
                  <w:tcW w:w="1331" w:type="dxa"/>
                </w:tcPr>
                <w:p w14:paraId="682DFD08" w14:textId="22B5E0A9" w:rsidR="009B6A6C" w:rsidRDefault="00024DD0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Spirit Bay</w:t>
                  </w:r>
                </w:p>
                <w:p w14:paraId="0D96510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761DD65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F8730E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5153DA7F" w14:textId="71B3F33C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8F2157A" w14:textId="1BF3DA07" w:rsidR="009B6A6C" w:rsidRPr="00757AEB" w:rsidRDefault="00024DD0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Spirit Bay is the largest player in Indonesia and Second largest player in Singapore and Malaysia, in the segment of beer, spirits, non-alcoholic beverages. its operations include manufacturing facilities (Indonesia), distribution and direct sales and had a strong growth in EBITDA in FY2020 which was up 40% pcp and amounted to US$400mm. </w:t>
                  </w:r>
                </w:p>
              </w:tc>
              <w:tc>
                <w:tcPr>
                  <w:tcW w:w="2893" w:type="dxa"/>
                </w:tcPr>
                <w:p w14:paraId="1A2EB85F" w14:textId="3497AE32" w:rsidR="009B6A6C" w:rsidRDefault="00024DD0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It has a solid financial result and have similar operations to WorldWide Brewing and is a leading player in Indonesia. The ownership structure is 60% owned by global promoters and 40% by employee, making the potential M&amp;A activity </w:t>
                  </w:r>
                  <w:r w:rsidR="009C44E5">
                    <w:rPr>
                      <w:rFonts w:ascii="Calibri" w:hAnsi="Calibri" w:cs="Calibri"/>
                      <w:sz w:val="20"/>
                      <w:szCs w:val="20"/>
                    </w:rPr>
                    <w:t>not relatively simple but feasible. They are also undergoing cost cutting measures to improve their earning making Spirit Bay appropriate to share.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350" w:type="dxa"/>
                </w:tcPr>
                <w:p w14:paraId="0D63E031" w14:textId="29C702AD" w:rsidR="009B6A6C" w:rsidRDefault="009C44E5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C44E5" w:rsidRPr="007773A3" w14:paraId="42F211ED" w14:textId="77777777" w:rsidTr="009C44E5">
              <w:tc>
                <w:tcPr>
                  <w:tcW w:w="1331" w:type="dxa"/>
                </w:tcPr>
                <w:p w14:paraId="4A5F2EC8" w14:textId="5D36C50F" w:rsidR="009B6A6C" w:rsidRDefault="009C44E5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Hipsters’ Ale</w:t>
                  </w:r>
                </w:p>
                <w:p w14:paraId="08AFD947" w14:textId="0A49C03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5D2F20CE" w14:textId="30DC18E4" w:rsidR="009B6A6C" w:rsidRPr="00757AEB" w:rsidRDefault="009C44E5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Hipsters’ Ale operates in Malaysia (HQ), Singapore, Indonesia, Japan, Korea, Cambodia, in the segments of beer and Spirits only. </w:t>
                  </w:r>
                  <w:r w:rsidR="00AA4B34">
                    <w:rPr>
                      <w:rFonts w:ascii="Calibri" w:hAnsi="Calibri" w:cs="Calibri"/>
                      <w:sz w:val="20"/>
                      <w:szCs w:val="20"/>
                    </w:rPr>
                    <w:t>Its operations include m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anufactur</w:t>
                  </w:r>
                  <w:r w:rsidR="00AA4B34">
                    <w:rPr>
                      <w:rFonts w:ascii="Calibri" w:hAnsi="Calibri" w:cs="Calibri"/>
                      <w:sz w:val="20"/>
                      <w:szCs w:val="20"/>
                    </w:rPr>
                    <w:t>ing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from consortium of independent microbreweries in each region</w:t>
                  </w:r>
                  <w:r w:rsidR="00AA4B34">
                    <w:rPr>
                      <w:rFonts w:ascii="Calibri" w:hAnsi="Calibri" w:cs="Calibri"/>
                      <w:sz w:val="20"/>
                      <w:szCs w:val="20"/>
                    </w:rPr>
                    <w:t>, distribution and direct sales. Strong EBITDA in FY2020, up by 15% pcp amounted to US$200mm</w:t>
                  </w:r>
                </w:p>
              </w:tc>
              <w:tc>
                <w:tcPr>
                  <w:tcW w:w="2893" w:type="dxa"/>
                </w:tcPr>
                <w:p w14:paraId="740A5886" w14:textId="554C6B4E" w:rsidR="009B6A6C" w:rsidRDefault="00EE7814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Hipster’s Ale operates in only 2 segments of beer and spirits but covers several different countries providing potential strategic advantage and synergies. It has solid financial result but a complex ownership structure with 30 independent breweries making M&amp;A activity complex. However, given the strategic significance it can provide, it would be appropriate to share. </w:t>
                  </w:r>
                </w:p>
              </w:tc>
              <w:tc>
                <w:tcPr>
                  <w:tcW w:w="2350" w:type="dxa"/>
                </w:tcPr>
                <w:p w14:paraId="4BF2F6C7" w14:textId="03407BA3" w:rsidR="009B6A6C" w:rsidRDefault="00EE7814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C44E5" w:rsidRPr="007773A3" w14:paraId="4B9B75B0" w14:textId="77777777" w:rsidTr="009C44E5">
              <w:tc>
                <w:tcPr>
                  <w:tcW w:w="1331" w:type="dxa"/>
                </w:tcPr>
                <w:p w14:paraId="3A4FDEF2" w14:textId="08F9E0B6" w:rsidR="009B6A6C" w:rsidRDefault="00D818AF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Brew Co.</w:t>
                  </w:r>
                </w:p>
                <w:p w14:paraId="27271D95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CB5889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6DF251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235D7E" w14:textId="399FCB76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FC65F4D" w14:textId="721413F3" w:rsidR="009B6A6C" w:rsidRPr="00757AEB" w:rsidRDefault="00D818AF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Brew co</w:t>
                  </w:r>
                  <w:r w:rsidR="002D28BB">
                    <w:rPr>
                      <w:rFonts w:ascii="Calibri" w:hAnsi="Calibri" w:cs="Calibri"/>
                      <w:sz w:val="20"/>
                      <w:szCs w:val="20"/>
                    </w:rPr>
                    <w:t xml:space="preserve">. is the largest player in Malaysia (HQ), in the segment of beer and spirits and provides manufacturing operations only. It shows a </w:t>
                  </w:r>
                  <w:r w:rsidR="002D28BB"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 xml:space="preserve">down in EBITDA US$800mm in FY2020 of 5% pcp. </w:t>
                  </w:r>
                </w:p>
              </w:tc>
              <w:tc>
                <w:tcPr>
                  <w:tcW w:w="2893" w:type="dxa"/>
                </w:tcPr>
                <w:p w14:paraId="1842CD1D" w14:textId="760ADF88" w:rsidR="009B6A6C" w:rsidRDefault="002D28BB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 xml:space="preserve">Limited geographically (Malaysia only) reach and not in line with WorldWide Brewing co. vision. Ownership structure is complex as the company is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 xml:space="preserve">listed in Malaysian stock exchange making the M&amp;A activity complex. Though the company is leading player is Malaysian market that’s why it </w:t>
                  </w:r>
                  <w:r w:rsidR="005700C3">
                    <w:rPr>
                      <w:rFonts w:ascii="Calibri" w:hAnsi="Calibri" w:cs="Calibri"/>
                      <w:sz w:val="20"/>
                      <w:szCs w:val="20"/>
                    </w:rPr>
                    <w:t xml:space="preserve">would </w:t>
                  </w:r>
                  <w:r w:rsidR="005565D8">
                    <w:rPr>
                      <w:rFonts w:ascii="Calibri" w:hAnsi="Calibri" w:cs="Calibri"/>
                      <w:sz w:val="20"/>
                      <w:szCs w:val="20"/>
                    </w:rPr>
                    <w:t xml:space="preserve">not </w:t>
                  </w:r>
                  <w:r w:rsidR="005700C3">
                    <w:rPr>
                      <w:rFonts w:ascii="Calibri" w:hAnsi="Calibri" w:cs="Calibri"/>
                      <w:sz w:val="20"/>
                      <w:szCs w:val="20"/>
                    </w:rPr>
                    <w:t>be appropriate to share.</w:t>
                  </w:r>
                </w:p>
              </w:tc>
              <w:tc>
                <w:tcPr>
                  <w:tcW w:w="2350" w:type="dxa"/>
                </w:tcPr>
                <w:p w14:paraId="55C39798" w14:textId="6FB1C17C" w:rsidR="009B6A6C" w:rsidRDefault="005700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lastRenderedPageBreak/>
                    <w:t>Not Recommend</w:t>
                  </w:r>
                </w:p>
              </w:tc>
            </w:tr>
            <w:tr w:rsidR="009C44E5" w:rsidRPr="007773A3" w14:paraId="14806F80" w14:textId="77777777" w:rsidTr="009C44E5">
              <w:tc>
                <w:tcPr>
                  <w:tcW w:w="1331" w:type="dxa"/>
                </w:tcPr>
                <w:p w14:paraId="6EC317CC" w14:textId="5C24D53A" w:rsidR="009B6A6C" w:rsidRDefault="005700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Bevy’s Direct</w:t>
                  </w:r>
                </w:p>
                <w:p w14:paraId="189BB501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9AAD35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B2496FB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A658F42" w14:textId="197BBD9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45359624" w14:textId="5B964C1A" w:rsidR="009B6A6C" w:rsidRPr="00757AEB" w:rsidRDefault="005700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Operates in Singapore (HQ), Malaysia, China, Indonesia, Japan, Korea, Cambodia, Australia, New Zealand, in the segment of beer, spirits, non-alcoholic beverages. Performs wholesale distribution only and have strong growth in EBITDA US$250mm in FY2020 up 20% pcp</w:t>
                  </w:r>
                </w:p>
              </w:tc>
              <w:tc>
                <w:tcPr>
                  <w:tcW w:w="2893" w:type="dxa"/>
                </w:tcPr>
                <w:p w14:paraId="33CDC1A4" w14:textId="7611C2A1" w:rsidR="009B6A6C" w:rsidRDefault="005700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Strong geographical reach but operates only in wholesale distribution but that can provide strategic advantage and synergies. Have a strong financial result and relatively simple ownership structure, owned by a single family, making M&amp;A activity simple and feasible. Bevy’s Direct would be appropriate to share. </w:t>
                  </w:r>
                </w:p>
              </w:tc>
              <w:tc>
                <w:tcPr>
                  <w:tcW w:w="2350" w:type="dxa"/>
                </w:tcPr>
                <w:p w14:paraId="778A6CE4" w14:textId="1CEEC219" w:rsidR="009B6A6C" w:rsidRDefault="005700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</w:tbl>
          <w:p w14:paraId="0A5AED62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1BEF0779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475DD3B3" w14:textId="634AE993" w:rsidR="009B6A6C" w:rsidRDefault="00D76A29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hope this information is useful and let me know if you have any further questions.</w:t>
            </w:r>
          </w:p>
          <w:p w14:paraId="43E031F0" w14:textId="77777777" w:rsidR="00D76A29" w:rsidRDefault="00D76A29" w:rsidP="009B6A6C">
            <w:pPr>
              <w:rPr>
                <w:sz w:val="20"/>
                <w:szCs w:val="20"/>
              </w:rPr>
            </w:pPr>
          </w:p>
          <w:p w14:paraId="1A819304" w14:textId="220F4E52" w:rsidR="00D76A29" w:rsidRDefault="00D76A29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Warm Regards,</w:t>
            </w:r>
          </w:p>
          <w:p w14:paraId="1CF8955D" w14:textId="3A7DFC5C" w:rsidR="00D76A29" w:rsidRPr="00AF616A" w:rsidRDefault="00D76A29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Ramakant Sonakiya</w:t>
            </w:r>
          </w:p>
          <w:p w14:paraId="5CF1D96A" w14:textId="3BFE666D" w:rsidR="00DC3063" w:rsidRPr="00990745" w:rsidRDefault="00DC3063" w:rsidP="00DC3063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28D81A7E" w14:textId="77777777" w:rsidR="00A90157" w:rsidRPr="00990745" w:rsidRDefault="00000000">
      <w:pPr>
        <w:rPr>
          <w:sz w:val="20"/>
          <w:szCs w:val="20"/>
        </w:rPr>
      </w:pPr>
    </w:p>
    <w:sectPr w:rsidR="00A90157" w:rsidRPr="00990745" w:rsidSect="009907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E5"/>
    <w:multiLevelType w:val="hybridMultilevel"/>
    <w:tmpl w:val="EE608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284"/>
    <w:multiLevelType w:val="hybridMultilevel"/>
    <w:tmpl w:val="8A0E9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3FC"/>
    <w:multiLevelType w:val="hybridMultilevel"/>
    <w:tmpl w:val="D78E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438788">
    <w:abstractNumId w:val="1"/>
  </w:num>
  <w:num w:numId="2" w16cid:durableId="2109109014">
    <w:abstractNumId w:val="2"/>
  </w:num>
  <w:num w:numId="3" w16cid:durableId="53851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5"/>
    <w:rsid w:val="00024DD0"/>
    <w:rsid w:val="0008742B"/>
    <w:rsid w:val="000D64E1"/>
    <w:rsid w:val="001931C6"/>
    <w:rsid w:val="002D28BB"/>
    <w:rsid w:val="0039065E"/>
    <w:rsid w:val="004F2ECF"/>
    <w:rsid w:val="005565D8"/>
    <w:rsid w:val="005700C3"/>
    <w:rsid w:val="006624F4"/>
    <w:rsid w:val="006776F6"/>
    <w:rsid w:val="00861BD9"/>
    <w:rsid w:val="008E07B5"/>
    <w:rsid w:val="00990745"/>
    <w:rsid w:val="009B6A6C"/>
    <w:rsid w:val="009C44E5"/>
    <w:rsid w:val="00AA4B34"/>
    <w:rsid w:val="00AF0A56"/>
    <w:rsid w:val="00AF616A"/>
    <w:rsid w:val="00D76A29"/>
    <w:rsid w:val="00D818AF"/>
    <w:rsid w:val="00DB69E6"/>
    <w:rsid w:val="00DC3063"/>
    <w:rsid w:val="00DC50E8"/>
    <w:rsid w:val="00DD42CB"/>
    <w:rsid w:val="00E2685D"/>
    <w:rsid w:val="00EC7B2A"/>
    <w:rsid w:val="00EE7814"/>
    <w:rsid w:val="00F2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D3E8"/>
  <w15:chartTrackingRefBased/>
  <w15:docId w15:val="{2F9D72CC-4BD6-4934-A49A-DC76B10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kuckoo</cp:lastModifiedBy>
  <cp:revision>8</cp:revision>
  <cp:lastPrinted>2023-08-09T05:34:00Z</cp:lastPrinted>
  <dcterms:created xsi:type="dcterms:W3CDTF">2020-04-30T07:35:00Z</dcterms:created>
  <dcterms:modified xsi:type="dcterms:W3CDTF">2023-08-09T05:37:00Z</dcterms:modified>
</cp:coreProperties>
</file>