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SAM2 memoar</w:t>
      </w:r>
    </w:p>
    <w:p>
      <w:pPr>
        <w:jc w:val="center"/>
      </w:pPr>
      <w:r>
        <w:rPr>
          <w:i/>
          <w:sz w:val="22"/>
        </w:rPr>
        <w:t>To korte fagmemoarer</w:t>
      </w:r>
    </w:p>
    <w:p>
      <w:pPr>
        <w:pBdr>
          <w:bottom w:val="single" w:sz="6" w:space="1" w:color="C9D3E6"/>
        </w:pBdr>
      </w:pPr>
    </w:p>
    <w:p>
      <w:pPr>
        <w:pStyle w:val="Heading1"/>
      </w:pPr>
      <w:r>
        <w:rPr>
          <w:b/>
          <w:sz w:val="30"/>
        </w:rPr>
        <w:t>SAM2 — Ikke mist motet i starten</w:t>
      </w:r>
    </w:p>
    <w:p>
      <w:pPr>
        <w:spacing w:after="160" w:line="283" w:lineRule="auto"/>
      </w:pPr>
      <w:r>
        <w:t>SAM2 bygger på læreboken og oppgaveboken til Kjetil Bjorvatn, som også foreleser i faget. Faget er delt inn i fire hoveddeler: konsumentteori, produsentteori, markedsteori, og markedsmakt og strategi. De ulike kapitlene følger i stor grad forelesningene, noe som gjør det mulig å jobbe ganske strukturert gjennom semesteret.</w:t>
      </w:r>
    </w:p>
    <w:p>
      <w:pPr>
        <w:spacing w:after="160" w:line="283" w:lineRule="auto"/>
      </w:pPr>
      <w:r>
        <w:t>Det viktigste å vite tidlig er at første del, konsumentteorien, kan oppleves som den tyngste faglig. Den er abstrakt, modellbasert og kan føles lite intuitiv. Mange av forutsetningene i faget kan også virke kunstige eller urealistiske, og det gjør at SAM2 i perioder kan føles mer “uforståelig” enn det egentlig er.</w:t>
      </w:r>
    </w:p>
    <w:p>
      <w:pPr>
        <w:spacing w:after="160" w:line="283" w:lineRule="auto"/>
      </w:pPr>
      <w:r>
        <w:t>Derfor bør man ikke miste motet etter de første forelesningene. Faget blir mer håndterbart når man begynner å kjenne igjen modellene, skjønner hva oppgavene spør etter, og ser hvordan samme type resonnement går igjen.</w:t>
      </w:r>
    </w:p>
    <w:p/>
    <w:p>
      <w:pPr>
        <w:pStyle w:val="Heading1"/>
      </w:pPr>
      <w:r>
        <w:rPr>
          <w:b/>
          <w:sz w:val="30"/>
        </w:rPr>
        <w:t>SAM2 — Slik bør du jobbe mot eksamen</w:t>
      </w:r>
    </w:p>
    <w:p>
      <w:pPr>
        <w:spacing w:after="160" w:line="283" w:lineRule="auto"/>
      </w:pPr>
      <w:r>
        <w:t>Det viktigste studietipset i SAM2 er enkelt, men lite glamorøst: gjør oppgavene i oppgaveboken fortløpende. Foreleser uttrykker eksplisitt at eksamen baserer seg på oppgavene i oppgaveboken, og derfor bør oppgavene knyttet til hver forelesning være hovedprioriteten gjennom semesteret.</w:t>
      </w:r>
    </w:p>
    <w:p>
      <w:pPr>
        <w:spacing w:after="160" w:line="283" w:lineRule="auto"/>
      </w:pPr>
      <w:r>
        <w:t>Dette kan være dørgende kjedelig, men det gjør eksamensperioden betydelig lettere. Hvis du venter med oppgaveboken til slutten, blir faget fort tungt og abstrakt. Hvis du derimot gjør oppgavene underveis, lærer du både modellene, språkføringen og hvilke typer resonnementer som forventes.</w:t>
      </w:r>
    </w:p>
    <w:p>
      <w:pPr>
        <w:spacing w:after="160" w:line="283" w:lineRule="auto"/>
      </w:pPr>
      <w:r>
        <w:t>I korte trekk klarer man seg relativt godt i SAM2 dersom man behersker oppgavene i oppgaveboken. Samtidig er det verdt å være forberedt på at eksamen kan overraske. Våren 2026 var preget av en curveball som gjorde eksamen vanskeligere enn tidligere. Likevel er oppgaveboken fortsatt det klart viktigste stedet å legge innsatsen.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SAM2 memoar</dc:title>
  <dc:subject>To korte SAM2 fagmemoarer</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