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Nicholas Skinner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CS 453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Spring 2019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#6: ParaView Vector Visualization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Arrows: Colored by magnitude.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562596" cy="316706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596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9901" cy="33004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9901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Stream Ribbon and Tube: colored by Curl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55049" cy="30432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5049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47564" cy="30337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564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Just for fun: Ribbons and tubes with magnitude coloring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81213" cy="258601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586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094239" cy="25955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4239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Extra Credit: Left and right eye arrows: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90701" cy="320516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701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588785" cy="320516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8785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Transfer Function: </w:t>
      </w:r>
      <w:r w:rsidDel="00000000" w:rsidR="00000000" w:rsidRPr="00000000">
        <w:rPr>
          <w:rtl w:val="0"/>
        </w:rPr>
        <w:t xml:space="preserve">I just used the base blue to red, it easily illustrates the differences between low and high, and is very easily differentiable. I do think I should modify it slightly though to incorporate more in between low and high readings.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Video Link: </w:t>
      </w: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https://media.oregonstate.edu/media/0_dxn6kh3x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media.oregonstate.edu/media/0_dxn6kh3x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