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E3EE8" w14:textId="77777777" w:rsidR="002753A8" w:rsidRDefault="002753A8" w:rsidP="002753A8">
      <w:pPr>
        <w:pStyle w:val="Heading1"/>
      </w:pPr>
      <w:r>
        <w:t>4. Solution Design</w:t>
      </w:r>
    </w:p>
    <w:p w14:paraId="758011C3" w14:textId="77777777" w:rsidR="002753A8" w:rsidRDefault="002753A8" w:rsidP="002753A8">
      <w:pPr>
        <w:pStyle w:val="NormalWeb"/>
      </w:pPr>
      <w:r>
        <w:t>This chapter presents the proposed technical solution for the Healthcare Integration &amp; Clinical Terminology Test Harness. The design addresses the cybersecurity and clinical-safety risks identified in the current-state analysis by providing a controlled environment for testing interoperability, terminology mapping and connector behaviour without using real patient information. The proposed solution is based on synthetic data, FHIR R4, Australian healthcare interoperability requirements and simulated EMR integrations. Stage 1 focuses on architecture and design, while implementation and deployment of the complete test harness are planned for Stage 2.</w:t>
      </w:r>
    </w:p>
    <w:p w14:paraId="4D364A9E" w14:textId="77777777" w:rsidR="002753A8" w:rsidRDefault="002753A8" w:rsidP="002753A8">
      <w:pPr>
        <w:pStyle w:val="Heading2"/>
      </w:pPr>
      <w:r>
        <w:t>4.1 Proposed Solution Architecture</w:t>
      </w:r>
    </w:p>
    <w:p w14:paraId="36D97514" w14:textId="77777777" w:rsidR="002753A8" w:rsidRDefault="002753A8" w:rsidP="002753A8">
      <w:pPr>
        <w:pStyle w:val="NormalWeb"/>
      </w:pPr>
      <w:r>
        <w:t xml:space="preserve">The proposed architecture is a system architecture consisting of a synthetic test-data layer, validation and terminology-mapping components, a test execution layer, simulated EMR connectors and a test reporting component. The main architecture is presented in </w:t>
      </w:r>
      <w:r>
        <w:rPr>
          <w:rStyle w:val="Strong"/>
        </w:rPr>
        <w:t>Figure X: Proposed Solution Architecture</w:t>
      </w:r>
      <w:r>
        <w:t xml:space="preserve">, with the system context represented separately in </w:t>
      </w:r>
      <w:r>
        <w:rPr>
          <w:rStyle w:val="Strong"/>
        </w:rPr>
        <w:t>Figure X: System Context Diagram</w:t>
      </w:r>
      <w:r>
        <w:t>. Both diagrams are available in the project repository.</w:t>
      </w:r>
    </w:p>
    <w:p w14:paraId="4F6D4666" w14:textId="77777777" w:rsidR="002753A8" w:rsidRDefault="002753A8" w:rsidP="002753A8">
      <w:pPr>
        <w:pStyle w:val="NormalWeb"/>
      </w:pPr>
      <w:r>
        <w:rPr>
          <w:rStyle w:val="Strong"/>
        </w:rPr>
        <w:t>[Insert Figure X: Proposed Solution Architecture here]</w:t>
      </w:r>
    </w:p>
    <w:p w14:paraId="2E32917F" w14:textId="77777777" w:rsidR="002753A8" w:rsidRDefault="002753A8" w:rsidP="002753A8">
      <w:pPr>
        <w:pStyle w:val="NormalWeb"/>
      </w:pPr>
      <w:r>
        <w:t>The primary user of the proposed test harness is an authorised MedTalk Connect engineering or testing user. The user initiates a test scenario and selects the relevant connector and test conditions. The system then generates synthetic patient and clinical encounter records. Before the data enter the testing workflow, validation controls check that the records conform to the required synthetic-data rules and do not contain realistic patient identifiers. This creates the first trust boundary between user-provided or generated input and the controlled test environment.</w:t>
      </w:r>
    </w:p>
    <w:p w14:paraId="650471D4" w14:textId="77777777" w:rsidR="002753A8" w:rsidRDefault="002753A8" w:rsidP="002753A8">
      <w:pPr>
        <w:pStyle w:val="NormalWeb"/>
      </w:pPr>
      <w:r>
        <w:t>Validated data are represented using FHIR R4 structures and passed to the interoperability testing layer. Where required, HL7 v2 messages can also be simulated. The data then pass through the terminology-mapping process, where representative clinical concepts are evaluated across SNOMED CT-AU, ICD-10-AM and MBS. The repository provides a dedicated terminology-mapping chain showing this relationship.</w:t>
      </w:r>
    </w:p>
    <w:p w14:paraId="768FB0CC" w14:textId="77777777" w:rsidR="002753A8" w:rsidRDefault="002753A8" w:rsidP="002753A8">
      <w:pPr>
        <w:pStyle w:val="NormalWeb"/>
      </w:pPr>
      <w:r>
        <w:rPr>
          <w:rStyle w:val="Strong"/>
        </w:rPr>
        <w:t>[Insert Figure X: Terminology Mapping Chain here]</w:t>
      </w:r>
    </w:p>
    <w:p w14:paraId="017E79B3" w14:textId="77777777" w:rsidR="002753A8" w:rsidRDefault="002753A8" w:rsidP="002753A8">
      <w:pPr>
        <w:pStyle w:val="NormalWeb"/>
      </w:pPr>
      <w:r>
        <w:t>The test execution layer performs normal, negative and degraded scenarios. These include successful exchanges, malformed data, slow responses and dropped connections. The resulting responses are evaluated against expected outcomes and recorded for reporting and analysis. The simulated connector layer represents the EMR integrations relevant to MedTalk Connect, allowing connector behaviour to be assessed without connecting the test harness to real production clinical systems.</w:t>
      </w:r>
    </w:p>
    <w:p w14:paraId="6C0F779B" w14:textId="77777777" w:rsidR="002753A8" w:rsidRDefault="002753A8" w:rsidP="002753A8">
      <w:pPr>
        <w:pStyle w:val="NormalWeb"/>
      </w:pPr>
      <w:r>
        <w:lastRenderedPageBreak/>
        <w:t>The main trust boundaries are therefore between the authorised user and the test harness, between unvalidated and validated synthetic data, and between the internal test environment and simulated external connectors. Authentication, access control, data validation, connector isolation and secure communication are proposed at these boundaries. This architecture directly supports the project's requirements for authorised access, tenant isolation and exclusive use of synthetic patient information.</w:t>
      </w:r>
    </w:p>
    <w:p w14:paraId="286C5C43" w14:textId="77777777" w:rsidR="002753A8" w:rsidRDefault="002753A8" w:rsidP="002753A8">
      <w:pPr>
        <w:pStyle w:val="Heading2"/>
      </w:pPr>
      <w:r>
        <w:t>4.2 Technology Stack and Justification</w:t>
      </w:r>
    </w:p>
    <w:p w14:paraId="601C4B62" w14:textId="77777777" w:rsidR="002753A8" w:rsidRDefault="002753A8" w:rsidP="002753A8">
      <w:pPr>
        <w:pStyle w:val="NormalWeb"/>
      </w:pPr>
      <w:r>
        <w:t>The technology stack prioritises interoperability standards, Australian healthcare requirements, security and low implementation cost. The selected technologies are intended to support the proposed Stage 1 architecture and provide a practical foundation for Stage 2 implementation. The project constraints require the use of free-tier and open-source tools because no dedicated cloud or project budget is provided.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086"/>
        <w:gridCol w:w="2869"/>
        <w:gridCol w:w="2958"/>
      </w:tblGrid>
      <w:tr w:rsidR="002753A8" w14:paraId="36273D94" w14:textId="77777777">
        <w:trPr>
          <w:tblHeader/>
          <w:tblCellSpacing w:w="15" w:type="dxa"/>
        </w:trPr>
        <w:tc>
          <w:tcPr>
            <w:tcW w:w="0" w:type="auto"/>
            <w:vAlign w:val="center"/>
            <w:hideMark/>
          </w:tcPr>
          <w:p w14:paraId="3884CEA9" w14:textId="77777777" w:rsidR="002753A8" w:rsidRDefault="002753A8">
            <w:pPr>
              <w:jc w:val="center"/>
              <w:rPr>
                <w:b/>
                <w:bCs/>
              </w:rPr>
            </w:pPr>
            <w:r>
              <w:rPr>
                <w:b/>
                <w:bCs/>
              </w:rPr>
              <w:t>Technology / Standard</w:t>
            </w:r>
          </w:p>
        </w:tc>
        <w:tc>
          <w:tcPr>
            <w:tcW w:w="0" w:type="auto"/>
            <w:vAlign w:val="center"/>
            <w:hideMark/>
          </w:tcPr>
          <w:p w14:paraId="59F8FDFD" w14:textId="77777777" w:rsidR="002753A8" w:rsidRDefault="002753A8">
            <w:pPr>
              <w:jc w:val="center"/>
              <w:rPr>
                <w:b/>
                <w:bCs/>
              </w:rPr>
            </w:pPr>
            <w:r>
              <w:rPr>
                <w:b/>
                <w:bCs/>
              </w:rPr>
              <w:t>Proposed Use</w:t>
            </w:r>
          </w:p>
        </w:tc>
        <w:tc>
          <w:tcPr>
            <w:tcW w:w="0" w:type="auto"/>
            <w:vAlign w:val="center"/>
            <w:hideMark/>
          </w:tcPr>
          <w:p w14:paraId="4034AF86" w14:textId="77777777" w:rsidR="002753A8" w:rsidRDefault="002753A8">
            <w:pPr>
              <w:jc w:val="center"/>
              <w:rPr>
                <w:b/>
                <w:bCs/>
              </w:rPr>
            </w:pPr>
            <w:r>
              <w:rPr>
                <w:b/>
                <w:bCs/>
              </w:rPr>
              <w:t>Justification</w:t>
            </w:r>
          </w:p>
        </w:tc>
        <w:tc>
          <w:tcPr>
            <w:tcW w:w="0" w:type="auto"/>
            <w:vAlign w:val="center"/>
            <w:hideMark/>
          </w:tcPr>
          <w:p w14:paraId="403E6EA3" w14:textId="77777777" w:rsidR="002753A8" w:rsidRDefault="002753A8">
            <w:pPr>
              <w:jc w:val="center"/>
              <w:rPr>
                <w:b/>
                <w:bCs/>
              </w:rPr>
            </w:pPr>
            <w:r>
              <w:rPr>
                <w:b/>
                <w:bCs/>
              </w:rPr>
              <w:t>Alternative Considered</w:t>
            </w:r>
          </w:p>
        </w:tc>
      </w:tr>
      <w:tr w:rsidR="002753A8" w14:paraId="58D5974F" w14:textId="77777777">
        <w:trPr>
          <w:tblCellSpacing w:w="15" w:type="dxa"/>
        </w:trPr>
        <w:tc>
          <w:tcPr>
            <w:tcW w:w="0" w:type="auto"/>
            <w:vAlign w:val="center"/>
            <w:hideMark/>
          </w:tcPr>
          <w:p w14:paraId="1A7232DB" w14:textId="77777777" w:rsidR="002753A8" w:rsidRDefault="002753A8">
            <w:r>
              <w:t>FHIR R4</w:t>
            </w:r>
          </w:p>
        </w:tc>
        <w:tc>
          <w:tcPr>
            <w:tcW w:w="0" w:type="auto"/>
            <w:vAlign w:val="center"/>
            <w:hideMark/>
          </w:tcPr>
          <w:p w14:paraId="2A15B81A" w14:textId="77777777" w:rsidR="002753A8" w:rsidRDefault="002753A8">
            <w:r>
              <w:t>Healthcare data exchange</w:t>
            </w:r>
          </w:p>
        </w:tc>
        <w:tc>
          <w:tcPr>
            <w:tcW w:w="0" w:type="auto"/>
            <w:vAlign w:val="center"/>
            <w:hideMark/>
          </w:tcPr>
          <w:p w14:paraId="1E448E4C" w14:textId="77777777" w:rsidR="002753A8" w:rsidRDefault="002753A8">
            <w:r>
              <w:t>Provides the primary standard for interoperability testing and aligns with the project's requirements.</w:t>
            </w:r>
          </w:p>
        </w:tc>
        <w:tc>
          <w:tcPr>
            <w:tcW w:w="0" w:type="auto"/>
            <w:vAlign w:val="center"/>
            <w:hideMark/>
          </w:tcPr>
          <w:p w14:paraId="4713ACB6" w14:textId="77777777" w:rsidR="002753A8" w:rsidRDefault="002753A8">
            <w:r>
              <w:t>HL7 v2 alone would not provide the required FHIR-based REST/JSON testing.</w:t>
            </w:r>
          </w:p>
        </w:tc>
      </w:tr>
      <w:tr w:rsidR="002753A8" w14:paraId="26670EA0" w14:textId="77777777">
        <w:trPr>
          <w:tblCellSpacing w:w="15" w:type="dxa"/>
        </w:trPr>
        <w:tc>
          <w:tcPr>
            <w:tcW w:w="0" w:type="auto"/>
            <w:vAlign w:val="center"/>
            <w:hideMark/>
          </w:tcPr>
          <w:p w14:paraId="151A9FB2" w14:textId="77777777" w:rsidR="002753A8" w:rsidRDefault="002753A8">
            <w:r>
              <w:t>AU Core</w:t>
            </w:r>
          </w:p>
        </w:tc>
        <w:tc>
          <w:tcPr>
            <w:tcW w:w="0" w:type="auto"/>
            <w:vAlign w:val="center"/>
            <w:hideMark/>
          </w:tcPr>
          <w:p w14:paraId="396D3C04" w14:textId="77777777" w:rsidR="002753A8" w:rsidRDefault="002753A8">
            <w:r>
              <w:t>Australian FHIR implementation alignment</w:t>
            </w:r>
          </w:p>
        </w:tc>
        <w:tc>
          <w:tcPr>
            <w:tcW w:w="0" w:type="auto"/>
            <w:vAlign w:val="center"/>
            <w:hideMark/>
          </w:tcPr>
          <w:p w14:paraId="2EA442D1" w14:textId="77777777" w:rsidR="002753A8" w:rsidRDefault="002753A8">
            <w:r>
              <w:t>Provides the Australian context for FHIR resources and interoperability.</w:t>
            </w:r>
          </w:p>
        </w:tc>
        <w:tc>
          <w:tcPr>
            <w:tcW w:w="0" w:type="auto"/>
            <w:vAlign w:val="center"/>
            <w:hideMark/>
          </w:tcPr>
          <w:p w14:paraId="6EA40BD6" w14:textId="77777777" w:rsidR="002753A8" w:rsidRDefault="002753A8">
            <w:r>
              <w:t>Generic FHIR without AU Core would provide less Australian-specific alignment.</w:t>
            </w:r>
          </w:p>
        </w:tc>
      </w:tr>
      <w:tr w:rsidR="002753A8" w14:paraId="4D5242F2" w14:textId="77777777">
        <w:trPr>
          <w:tblCellSpacing w:w="15" w:type="dxa"/>
        </w:trPr>
        <w:tc>
          <w:tcPr>
            <w:tcW w:w="0" w:type="auto"/>
            <w:vAlign w:val="center"/>
            <w:hideMark/>
          </w:tcPr>
          <w:p w14:paraId="5AA8C998" w14:textId="77777777" w:rsidR="002753A8" w:rsidRDefault="002753A8">
            <w:r>
              <w:t>REST/JSON</w:t>
            </w:r>
          </w:p>
        </w:tc>
        <w:tc>
          <w:tcPr>
            <w:tcW w:w="0" w:type="auto"/>
            <w:vAlign w:val="center"/>
            <w:hideMark/>
          </w:tcPr>
          <w:p w14:paraId="184AB246" w14:textId="77777777" w:rsidR="002753A8" w:rsidRDefault="002753A8">
            <w:r>
              <w:t>FHIR API communication</w:t>
            </w:r>
          </w:p>
        </w:tc>
        <w:tc>
          <w:tcPr>
            <w:tcW w:w="0" w:type="auto"/>
            <w:vAlign w:val="center"/>
            <w:hideMark/>
          </w:tcPr>
          <w:p w14:paraId="04A5EA0B" w14:textId="77777777" w:rsidR="002753A8" w:rsidRDefault="002753A8">
            <w:r>
              <w:t>Provides a practical method for simulating modern healthcare API exchanges.</w:t>
            </w:r>
          </w:p>
        </w:tc>
        <w:tc>
          <w:tcPr>
            <w:tcW w:w="0" w:type="auto"/>
            <w:vAlign w:val="center"/>
            <w:hideMark/>
          </w:tcPr>
          <w:p w14:paraId="6C106DD4" w14:textId="77777777" w:rsidR="002753A8" w:rsidRDefault="002753A8">
            <w:r>
              <w:t>HL7 v2 messaging is retained where applicable but is not sufficient as the sole exchange mechanism.</w:t>
            </w:r>
          </w:p>
        </w:tc>
      </w:tr>
      <w:tr w:rsidR="002753A8" w14:paraId="471AE425" w14:textId="77777777">
        <w:trPr>
          <w:tblCellSpacing w:w="15" w:type="dxa"/>
        </w:trPr>
        <w:tc>
          <w:tcPr>
            <w:tcW w:w="0" w:type="auto"/>
            <w:vAlign w:val="center"/>
            <w:hideMark/>
          </w:tcPr>
          <w:p w14:paraId="67DF0B2A" w14:textId="77777777" w:rsidR="002753A8" w:rsidRDefault="002753A8">
            <w:r>
              <w:t>HL7 v2</w:t>
            </w:r>
          </w:p>
        </w:tc>
        <w:tc>
          <w:tcPr>
            <w:tcW w:w="0" w:type="auto"/>
            <w:vAlign w:val="center"/>
            <w:hideMark/>
          </w:tcPr>
          <w:p w14:paraId="72BC2E82" w14:textId="77777777" w:rsidR="002753A8" w:rsidRDefault="002753A8">
            <w:r>
              <w:t>Message simulation</w:t>
            </w:r>
          </w:p>
        </w:tc>
        <w:tc>
          <w:tcPr>
            <w:tcW w:w="0" w:type="auto"/>
            <w:vAlign w:val="center"/>
            <w:hideMark/>
          </w:tcPr>
          <w:p w14:paraId="385132C7" w14:textId="77777777" w:rsidR="002753A8" w:rsidRDefault="002753A8">
            <w:r>
              <w:t>Supports testing of applicable legacy healthcare messaging scenarios.</w:t>
            </w:r>
          </w:p>
        </w:tc>
        <w:tc>
          <w:tcPr>
            <w:tcW w:w="0" w:type="auto"/>
            <w:vAlign w:val="center"/>
            <w:hideMark/>
          </w:tcPr>
          <w:p w14:paraId="1E15D862" w14:textId="77777777" w:rsidR="002753A8" w:rsidRDefault="002753A8">
            <w:r>
              <w:t>FHIR R4 is preferred for the primary interoperability workflow.</w:t>
            </w:r>
          </w:p>
        </w:tc>
      </w:tr>
      <w:tr w:rsidR="002753A8" w14:paraId="1E0BF613" w14:textId="77777777">
        <w:trPr>
          <w:tblCellSpacing w:w="15" w:type="dxa"/>
        </w:trPr>
        <w:tc>
          <w:tcPr>
            <w:tcW w:w="0" w:type="auto"/>
            <w:vAlign w:val="center"/>
            <w:hideMark/>
          </w:tcPr>
          <w:p w14:paraId="6DAF3049" w14:textId="77777777" w:rsidR="002753A8" w:rsidRDefault="002753A8">
            <w:r>
              <w:t>SNOMED CT-AU</w:t>
            </w:r>
          </w:p>
        </w:tc>
        <w:tc>
          <w:tcPr>
            <w:tcW w:w="0" w:type="auto"/>
            <w:vAlign w:val="center"/>
            <w:hideMark/>
          </w:tcPr>
          <w:p w14:paraId="74DC6058" w14:textId="77777777" w:rsidR="002753A8" w:rsidRDefault="002753A8">
            <w:r>
              <w:t>Clinical terminology</w:t>
            </w:r>
          </w:p>
        </w:tc>
        <w:tc>
          <w:tcPr>
            <w:tcW w:w="0" w:type="auto"/>
            <w:vAlign w:val="center"/>
            <w:hideMark/>
          </w:tcPr>
          <w:p w14:paraId="45690B87" w14:textId="77777777" w:rsidR="002753A8" w:rsidRDefault="002753A8">
            <w:r>
              <w:t>Provides the clinical concepts used in representative terminology-mapping scenarios.</w:t>
            </w:r>
          </w:p>
        </w:tc>
        <w:tc>
          <w:tcPr>
            <w:tcW w:w="0" w:type="auto"/>
            <w:vAlign w:val="center"/>
            <w:hideMark/>
          </w:tcPr>
          <w:p w14:paraId="69EC01BF" w14:textId="77777777" w:rsidR="002753A8" w:rsidRDefault="002753A8">
            <w:r>
              <w:t>Generic terminology sets would not meet the Australian project context.</w:t>
            </w:r>
          </w:p>
        </w:tc>
      </w:tr>
      <w:tr w:rsidR="002753A8" w14:paraId="66D4F3EF" w14:textId="77777777">
        <w:trPr>
          <w:tblCellSpacing w:w="15" w:type="dxa"/>
        </w:trPr>
        <w:tc>
          <w:tcPr>
            <w:tcW w:w="0" w:type="auto"/>
            <w:vAlign w:val="center"/>
            <w:hideMark/>
          </w:tcPr>
          <w:p w14:paraId="4BEBE9C7" w14:textId="77777777" w:rsidR="002753A8" w:rsidRDefault="002753A8">
            <w:r>
              <w:lastRenderedPageBreak/>
              <w:t>ICD-10-AM / MBS</w:t>
            </w:r>
          </w:p>
        </w:tc>
        <w:tc>
          <w:tcPr>
            <w:tcW w:w="0" w:type="auto"/>
            <w:vAlign w:val="center"/>
            <w:hideMark/>
          </w:tcPr>
          <w:p w14:paraId="34745DF2" w14:textId="77777777" w:rsidR="002753A8" w:rsidRDefault="002753A8">
            <w:r>
              <w:t>Terminology and billing mapping</w:t>
            </w:r>
          </w:p>
        </w:tc>
        <w:tc>
          <w:tcPr>
            <w:tcW w:w="0" w:type="auto"/>
            <w:vAlign w:val="center"/>
            <w:hideMark/>
          </w:tcPr>
          <w:p w14:paraId="6F44E0E8" w14:textId="77777777" w:rsidR="002753A8" w:rsidRDefault="002753A8">
            <w:r>
              <w:t>Supports the required Australian clinical and Medicare-related mappings.</w:t>
            </w:r>
          </w:p>
        </w:tc>
        <w:tc>
          <w:tcPr>
            <w:tcW w:w="0" w:type="auto"/>
            <w:vAlign w:val="center"/>
            <w:hideMark/>
          </w:tcPr>
          <w:p w14:paraId="407515DF" w14:textId="77777777" w:rsidR="002753A8" w:rsidRDefault="002753A8">
            <w:r>
              <w:t>Non-Australian coding systems would not satisfy the project's requirements.</w:t>
            </w:r>
          </w:p>
        </w:tc>
      </w:tr>
      <w:tr w:rsidR="002753A8" w14:paraId="2885FA3D" w14:textId="77777777">
        <w:trPr>
          <w:tblCellSpacing w:w="15" w:type="dxa"/>
        </w:trPr>
        <w:tc>
          <w:tcPr>
            <w:tcW w:w="0" w:type="auto"/>
            <w:vAlign w:val="center"/>
            <w:hideMark/>
          </w:tcPr>
          <w:p w14:paraId="129F158F" w14:textId="77777777" w:rsidR="002753A8" w:rsidRDefault="002753A8">
            <w:r>
              <w:t>SMART on FHIR / OAuth 2.0</w:t>
            </w:r>
          </w:p>
        </w:tc>
        <w:tc>
          <w:tcPr>
            <w:tcW w:w="0" w:type="auto"/>
            <w:vAlign w:val="center"/>
            <w:hideMark/>
          </w:tcPr>
          <w:p w14:paraId="7C0ABA7B" w14:textId="77777777" w:rsidR="002753A8" w:rsidRDefault="002753A8">
            <w:r>
              <w:t xml:space="preserve">Authentication and </w:t>
            </w:r>
            <w:proofErr w:type="spellStart"/>
            <w:r>
              <w:t>authorisation</w:t>
            </w:r>
            <w:proofErr w:type="spellEnd"/>
          </w:p>
        </w:tc>
        <w:tc>
          <w:tcPr>
            <w:tcW w:w="0" w:type="auto"/>
            <w:vAlign w:val="center"/>
            <w:hideMark/>
          </w:tcPr>
          <w:p w14:paraId="42A0EEFA" w14:textId="77777777" w:rsidR="002753A8" w:rsidRDefault="002753A8">
            <w:r>
              <w:t>Provides a suitable mechanism for controlled FHIR access.</w:t>
            </w:r>
          </w:p>
        </w:tc>
        <w:tc>
          <w:tcPr>
            <w:tcW w:w="0" w:type="auto"/>
            <w:vAlign w:val="center"/>
            <w:hideMark/>
          </w:tcPr>
          <w:p w14:paraId="32FCD50C" w14:textId="77777777" w:rsidR="002753A8" w:rsidRDefault="002753A8">
            <w:r>
              <w:t xml:space="preserve">API keys provide less granular </w:t>
            </w:r>
            <w:proofErr w:type="spellStart"/>
            <w:r>
              <w:t>authorisation</w:t>
            </w:r>
            <w:proofErr w:type="spellEnd"/>
            <w:r>
              <w:t xml:space="preserve"> capabilities.</w:t>
            </w:r>
          </w:p>
        </w:tc>
      </w:tr>
      <w:tr w:rsidR="002753A8" w14:paraId="394BBC5A" w14:textId="77777777">
        <w:trPr>
          <w:tblCellSpacing w:w="15" w:type="dxa"/>
        </w:trPr>
        <w:tc>
          <w:tcPr>
            <w:tcW w:w="0" w:type="auto"/>
            <w:vAlign w:val="center"/>
            <w:hideMark/>
          </w:tcPr>
          <w:p w14:paraId="36DDB793" w14:textId="77777777" w:rsidR="002753A8" w:rsidRDefault="002753A8">
            <w:r>
              <w:t>Docker / Docker Compose</w:t>
            </w:r>
          </w:p>
        </w:tc>
        <w:tc>
          <w:tcPr>
            <w:tcW w:w="0" w:type="auto"/>
            <w:vAlign w:val="center"/>
            <w:hideMark/>
          </w:tcPr>
          <w:p w14:paraId="72D84BD4" w14:textId="77777777" w:rsidR="002753A8" w:rsidRDefault="002753A8">
            <w:r>
              <w:t>Stage 2 deployment</w:t>
            </w:r>
          </w:p>
        </w:tc>
        <w:tc>
          <w:tcPr>
            <w:tcW w:w="0" w:type="auto"/>
            <w:vAlign w:val="center"/>
            <w:hideMark/>
          </w:tcPr>
          <w:p w14:paraId="6EE20484" w14:textId="77777777" w:rsidR="002753A8" w:rsidRDefault="002753A8">
            <w:r>
              <w:t>Supports reproducible deployment and separation of test components.</w:t>
            </w:r>
          </w:p>
        </w:tc>
        <w:tc>
          <w:tcPr>
            <w:tcW w:w="0" w:type="auto"/>
            <w:vAlign w:val="center"/>
            <w:hideMark/>
          </w:tcPr>
          <w:p w14:paraId="6FD42992" w14:textId="77777777" w:rsidR="002753A8" w:rsidRDefault="002753A8">
            <w:r>
              <w:t>Direct host installation could create environment and dependency inconsistencies.</w:t>
            </w:r>
          </w:p>
        </w:tc>
      </w:tr>
      <w:tr w:rsidR="002753A8" w14:paraId="3C225C1F" w14:textId="77777777">
        <w:trPr>
          <w:tblCellSpacing w:w="15" w:type="dxa"/>
        </w:trPr>
        <w:tc>
          <w:tcPr>
            <w:tcW w:w="0" w:type="auto"/>
            <w:vAlign w:val="center"/>
            <w:hideMark/>
          </w:tcPr>
          <w:p w14:paraId="29859B58" w14:textId="77777777" w:rsidR="002753A8" w:rsidRDefault="002753A8">
            <w:r>
              <w:t>Synthetic data</w:t>
            </w:r>
          </w:p>
        </w:tc>
        <w:tc>
          <w:tcPr>
            <w:tcW w:w="0" w:type="auto"/>
            <w:vAlign w:val="center"/>
            <w:hideMark/>
          </w:tcPr>
          <w:p w14:paraId="05A53FDC" w14:textId="77777777" w:rsidR="002753A8" w:rsidRDefault="002753A8">
            <w:r>
              <w:t>Test records</w:t>
            </w:r>
          </w:p>
        </w:tc>
        <w:tc>
          <w:tcPr>
            <w:tcW w:w="0" w:type="auto"/>
            <w:vAlign w:val="center"/>
            <w:hideMark/>
          </w:tcPr>
          <w:p w14:paraId="2F8F99F0" w14:textId="77777777" w:rsidR="002753A8" w:rsidRDefault="002753A8">
            <w:r>
              <w:t>Prevents exposure of real patient information and enables repeatable testing.</w:t>
            </w:r>
          </w:p>
        </w:tc>
        <w:tc>
          <w:tcPr>
            <w:tcW w:w="0" w:type="auto"/>
            <w:vAlign w:val="center"/>
            <w:hideMark/>
          </w:tcPr>
          <w:p w14:paraId="33115CD0" w14:textId="77777777" w:rsidR="002753A8" w:rsidRDefault="002753A8">
            <w:r>
              <w:t>Real patient data is explicitly excluded from the project.</w:t>
            </w:r>
          </w:p>
        </w:tc>
      </w:tr>
    </w:tbl>
    <w:p w14:paraId="0D34F2D2" w14:textId="77777777" w:rsidR="002753A8" w:rsidRDefault="002753A8" w:rsidP="002753A8">
      <w:pPr>
        <w:pStyle w:val="NormalWeb"/>
      </w:pPr>
      <w:r>
        <w:t>The combination of FHIR R4 and AU Core is appropriate because the proposed solution must test interoperability within an Australian healthcare context. HL7 v2 is retained as a complementary simulation capability rather than replacing FHIR. The terminology standards provide the basis for evaluating clinical mappings, while SMART on FHIR and OAuth 2.0 provide the proposed authentication model. Docker is treated as a Stage 2 implementation technology rather than an already deployed component. This distinction is consistent with the project scope, which excludes implementation of the complete test harness during Stage 1.</w:t>
      </w:r>
    </w:p>
    <w:p w14:paraId="435428CC" w14:textId="77777777" w:rsidR="002753A8" w:rsidRDefault="002753A8" w:rsidP="002753A8">
      <w:pPr>
        <w:pStyle w:val="Heading2"/>
      </w:pPr>
      <w:r>
        <w:t>4.3 Security Design and Control Mapping</w:t>
      </w:r>
    </w:p>
    <w:p w14:paraId="0EADF108" w14:textId="77777777" w:rsidR="002753A8" w:rsidRDefault="002753A8" w:rsidP="002753A8">
      <w:pPr>
        <w:pStyle w:val="NormalWeb"/>
      </w:pPr>
      <w:r>
        <w:t>Security is incorporated into the proposed solution through preventive, protective and monitoring controls. The most important preventive control is the exclusive use of synthetic patient information. The project requires automatic rejection of realistic identifiers, including validation mechanisms such as Luhn checking, so that real patient information cannot unintentionally enter the test environment.</w:t>
      </w:r>
    </w:p>
    <w:p w14:paraId="420467FE" w14:textId="77777777" w:rsidR="002753A8" w:rsidRDefault="002753A8" w:rsidP="002753A8">
      <w:pPr>
        <w:pStyle w:val="NormalWeb"/>
      </w:pPr>
      <w:r>
        <w:t>Authentication and role-based access control are proposed for authorised test-harness users. These controls limit who can create test scenarios, execute tests and access results. SMART on FHIR and OAuth 2.0 can provide authentication and delegated authorisation for applicable FHIR interfaces. Secure transport should be used for implemented interfaces to protect data while in transit.</w:t>
      </w:r>
    </w:p>
    <w:p w14:paraId="3E165BEE" w14:textId="77777777" w:rsidR="002753A8" w:rsidRDefault="002753A8" w:rsidP="002753A8">
      <w:pPr>
        <w:pStyle w:val="NormalWeb"/>
      </w:pPr>
      <w:r>
        <w:lastRenderedPageBreak/>
        <w:t xml:space="preserve">Logical isolation is also required between connectors and test contexts. This reduces the risk that </w:t>
      </w:r>
      <w:proofErr w:type="gramStart"/>
      <w:r>
        <w:t>test</w:t>
      </w:r>
      <w:proofErr w:type="gramEnd"/>
      <w:r>
        <w:t xml:space="preserve"> data or results associated with one connector are exposed to another. Input validation should be applied to FHIR resources and other message formats to detect malformed or unexpected data before processing. Logging should capture test execution, connector responses and security-relevant events to provide traceability.</w:t>
      </w:r>
    </w:p>
    <w:p w14:paraId="7AD19F6F" w14:textId="77777777" w:rsidR="002753A8" w:rsidRDefault="002753A8" w:rsidP="002753A8">
      <w:pPr>
        <w:pStyle w:val="NormalWeb"/>
      </w:pPr>
      <w:r>
        <w:t>For Stage 2, vulnerability management should include dependency and container checking, secure configuration and regular updates of deployed components. Incident-response procedures should define how suspected security events are contained, investigated and documented. Backup and recovery controls should protect important configuration and test-result information where persistent storage is introduced.</w:t>
      </w:r>
    </w:p>
    <w:p w14:paraId="56DE6DB1" w14:textId="77777777" w:rsidR="002753A8" w:rsidRDefault="002753A8" w:rsidP="002753A8">
      <w:pPr>
        <w:pStyle w:val="NormalWeb"/>
      </w:pPr>
      <w:r>
        <w:t xml:space="preserve">The controls are mapped primarily to the </w:t>
      </w:r>
      <w:r>
        <w:rPr>
          <w:rStyle w:val="Strong"/>
        </w:rPr>
        <w:t>NIST Cybersecurity Framework (CSF)</w:t>
      </w:r>
      <w:r>
        <w:t xml:space="preserve"> because its Identify, Protect, Detect, Respond and Recover functions provide a clear structure for the proposed cybersecurity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5231"/>
        <w:gridCol w:w="1668"/>
      </w:tblGrid>
      <w:tr w:rsidR="002753A8" w14:paraId="759A3621" w14:textId="77777777">
        <w:trPr>
          <w:tblHeader/>
          <w:tblCellSpacing w:w="15" w:type="dxa"/>
        </w:trPr>
        <w:tc>
          <w:tcPr>
            <w:tcW w:w="0" w:type="auto"/>
            <w:vAlign w:val="center"/>
            <w:hideMark/>
          </w:tcPr>
          <w:p w14:paraId="2E230F9F" w14:textId="77777777" w:rsidR="002753A8" w:rsidRDefault="002753A8">
            <w:pPr>
              <w:jc w:val="center"/>
              <w:rPr>
                <w:b/>
                <w:bCs/>
              </w:rPr>
            </w:pPr>
            <w:r>
              <w:rPr>
                <w:b/>
                <w:bCs/>
              </w:rPr>
              <w:t>Security Control</w:t>
            </w:r>
          </w:p>
        </w:tc>
        <w:tc>
          <w:tcPr>
            <w:tcW w:w="0" w:type="auto"/>
            <w:vAlign w:val="center"/>
            <w:hideMark/>
          </w:tcPr>
          <w:p w14:paraId="121B04F5" w14:textId="77777777" w:rsidR="002753A8" w:rsidRDefault="002753A8">
            <w:pPr>
              <w:jc w:val="center"/>
              <w:rPr>
                <w:b/>
                <w:bCs/>
              </w:rPr>
            </w:pPr>
            <w:r>
              <w:rPr>
                <w:b/>
                <w:bCs/>
              </w:rPr>
              <w:t>Proposed Design</w:t>
            </w:r>
          </w:p>
        </w:tc>
        <w:tc>
          <w:tcPr>
            <w:tcW w:w="0" w:type="auto"/>
            <w:vAlign w:val="center"/>
            <w:hideMark/>
          </w:tcPr>
          <w:p w14:paraId="3199D557" w14:textId="77777777" w:rsidR="002753A8" w:rsidRDefault="002753A8">
            <w:pPr>
              <w:jc w:val="center"/>
              <w:rPr>
                <w:b/>
                <w:bCs/>
              </w:rPr>
            </w:pPr>
            <w:r>
              <w:rPr>
                <w:b/>
                <w:bCs/>
              </w:rPr>
              <w:t>NIST CSF Mapping</w:t>
            </w:r>
          </w:p>
        </w:tc>
      </w:tr>
      <w:tr w:rsidR="002753A8" w14:paraId="2855C82F" w14:textId="77777777">
        <w:trPr>
          <w:tblCellSpacing w:w="15" w:type="dxa"/>
        </w:trPr>
        <w:tc>
          <w:tcPr>
            <w:tcW w:w="0" w:type="auto"/>
            <w:vAlign w:val="center"/>
            <w:hideMark/>
          </w:tcPr>
          <w:p w14:paraId="381B93CA" w14:textId="77777777" w:rsidR="002753A8" w:rsidRDefault="002753A8">
            <w:r>
              <w:t>Authentication</w:t>
            </w:r>
          </w:p>
        </w:tc>
        <w:tc>
          <w:tcPr>
            <w:tcW w:w="0" w:type="auto"/>
            <w:vAlign w:val="center"/>
            <w:hideMark/>
          </w:tcPr>
          <w:p w14:paraId="15017358" w14:textId="77777777" w:rsidR="002753A8" w:rsidRDefault="002753A8">
            <w:r>
              <w:t>OAuth 2.0 / SMART on FHIR where applicable</w:t>
            </w:r>
          </w:p>
        </w:tc>
        <w:tc>
          <w:tcPr>
            <w:tcW w:w="0" w:type="auto"/>
            <w:vAlign w:val="center"/>
            <w:hideMark/>
          </w:tcPr>
          <w:p w14:paraId="73B2AAF7" w14:textId="77777777" w:rsidR="002753A8" w:rsidRDefault="002753A8">
            <w:r>
              <w:t>Protect</w:t>
            </w:r>
          </w:p>
        </w:tc>
      </w:tr>
      <w:tr w:rsidR="002753A8" w14:paraId="78839D17" w14:textId="77777777">
        <w:trPr>
          <w:tblCellSpacing w:w="15" w:type="dxa"/>
        </w:trPr>
        <w:tc>
          <w:tcPr>
            <w:tcW w:w="0" w:type="auto"/>
            <w:vAlign w:val="center"/>
            <w:hideMark/>
          </w:tcPr>
          <w:p w14:paraId="7DED6FB0" w14:textId="77777777" w:rsidR="002753A8" w:rsidRDefault="002753A8">
            <w:r>
              <w:t>Access control</w:t>
            </w:r>
          </w:p>
        </w:tc>
        <w:tc>
          <w:tcPr>
            <w:tcW w:w="0" w:type="auto"/>
            <w:vAlign w:val="center"/>
            <w:hideMark/>
          </w:tcPr>
          <w:p w14:paraId="18E2B11F" w14:textId="77777777" w:rsidR="002753A8" w:rsidRDefault="002753A8">
            <w:proofErr w:type="spellStart"/>
            <w:r>
              <w:t>Authorised</w:t>
            </w:r>
            <w:proofErr w:type="spellEnd"/>
            <w:r>
              <w:t xml:space="preserve"> users and role-based permissions</w:t>
            </w:r>
          </w:p>
        </w:tc>
        <w:tc>
          <w:tcPr>
            <w:tcW w:w="0" w:type="auto"/>
            <w:vAlign w:val="center"/>
            <w:hideMark/>
          </w:tcPr>
          <w:p w14:paraId="4BB1A13E" w14:textId="77777777" w:rsidR="002753A8" w:rsidRDefault="002753A8">
            <w:r>
              <w:t>Protect</w:t>
            </w:r>
          </w:p>
        </w:tc>
      </w:tr>
      <w:tr w:rsidR="002753A8" w14:paraId="0050CC5B" w14:textId="77777777">
        <w:trPr>
          <w:tblCellSpacing w:w="15" w:type="dxa"/>
        </w:trPr>
        <w:tc>
          <w:tcPr>
            <w:tcW w:w="0" w:type="auto"/>
            <w:vAlign w:val="center"/>
            <w:hideMark/>
          </w:tcPr>
          <w:p w14:paraId="6C2E65D4" w14:textId="77777777" w:rsidR="002753A8" w:rsidRDefault="002753A8">
            <w:r>
              <w:t>Data protection</w:t>
            </w:r>
          </w:p>
        </w:tc>
        <w:tc>
          <w:tcPr>
            <w:tcW w:w="0" w:type="auto"/>
            <w:vAlign w:val="center"/>
            <w:hideMark/>
          </w:tcPr>
          <w:p w14:paraId="4B055433" w14:textId="77777777" w:rsidR="002753A8" w:rsidRDefault="002753A8">
            <w:r>
              <w:t>Synthetic data and realistic-identifier rejection</w:t>
            </w:r>
          </w:p>
        </w:tc>
        <w:tc>
          <w:tcPr>
            <w:tcW w:w="0" w:type="auto"/>
            <w:vAlign w:val="center"/>
            <w:hideMark/>
          </w:tcPr>
          <w:p w14:paraId="267C0ECE" w14:textId="77777777" w:rsidR="002753A8" w:rsidRDefault="002753A8">
            <w:r>
              <w:t>Protect</w:t>
            </w:r>
          </w:p>
        </w:tc>
      </w:tr>
      <w:tr w:rsidR="002753A8" w14:paraId="7E4277BD" w14:textId="77777777">
        <w:trPr>
          <w:tblCellSpacing w:w="15" w:type="dxa"/>
        </w:trPr>
        <w:tc>
          <w:tcPr>
            <w:tcW w:w="0" w:type="auto"/>
            <w:vAlign w:val="center"/>
            <w:hideMark/>
          </w:tcPr>
          <w:p w14:paraId="36BC7888" w14:textId="77777777" w:rsidR="002753A8" w:rsidRDefault="002753A8">
            <w:r>
              <w:t>Encryption</w:t>
            </w:r>
          </w:p>
        </w:tc>
        <w:tc>
          <w:tcPr>
            <w:tcW w:w="0" w:type="auto"/>
            <w:vAlign w:val="center"/>
            <w:hideMark/>
          </w:tcPr>
          <w:p w14:paraId="7768B918" w14:textId="77777777" w:rsidR="002753A8" w:rsidRDefault="002753A8">
            <w:r>
              <w:t>Secure encrypted transport for implemented interfaces</w:t>
            </w:r>
          </w:p>
        </w:tc>
        <w:tc>
          <w:tcPr>
            <w:tcW w:w="0" w:type="auto"/>
            <w:vAlign w:val="center"/>
            <w:hideMark/>
          </w:tcPr>
          <w:p w14:paraId="0791C515" w14:textId="77777777" w:rsidR="002753A8" w:rsidRDefault="002753A8">
            <w:r>
              <w:t>Protect</w:t>
            </w:r>
          </w:p>
        </w:tc>
      </w:tr>
      <w:tr w:rsidR="002753A8" w14:paraId="7C76E8E5" w14:textId="77777777">
        <w:trPr>
          <w:tblCellSpacing w:w="15" w:type="dxa"/>
        </w:trPr>
        <w:tc>
          <w:tcPr>
            <w:tcW w:w="0" w:type="auto"/>
            <w:vAlign w:val="center"/>
            <w:hideMark/>
          </w:tcPr>
          <w:p w14:paraId="56F887F1" w14:textId="77777777" w:rsidR="002753A8" w:rsidRDefault="002753A8">
            <w:r>
              <w:t>Input validation</w:t>
            </w:r>
          </w:p>
        </w:tc>
        <w:tc>
          <w:tcPr>
            <w:tcW w:w="0" w:type="auto"/>
            <w:vAlign w:val="center"/>
            <w:hideMark/>
          </w:tcPr>
          <w:p w14:paraId="1784132D" w14:textId="77777777" w:rsidR="002753A8" w:rsidRDefault="002753A8">
            <w:r>
              <w:t>FHIR/message validation before processing</w:t>
            </w:r>
          </w:p>
        </w:tc>
        <w:tc>
          <w:tcPr>
            <w:tcW w:w="0" w:type="auto"/>
            <w:vAlign w:val="center"/>
            <w:hideMark/>
          </w:tcPr>
          <w:p w14:paraId="40E06B08" w14:textId="77777777" w:rsidR="002753A8" w:rsidRDefault="002753A8">
            <w:r>
              <w:t>Protect</w:t>
            </w:r>
          </w:p>
        </w:tc>
      </w:tr>
      <w:tr w:rsidR="002753A8" w14:paraId="59C7867B" w14:textId="77777777">
        <w:trPr>
          <w:tblCellSpacing w:w="15" w:type="dxa"/>
        </w:trPr>
        <w:tc>
          <w:tcPr>
            <w:tcW w:w="0" w:type="auto"/>
            <w:vAlign w:val="center"/>
            <w:hideMark/>
          </w:tcPr>
          <w:p w14:paraId="78D194F8" w14:textId="77777777" w:rsidR="002753A8" w:rsidRDefault="002753A8">
            <w:r>
              <w:t>Logging and monitoring</w:t>
            </w:r>
          </w:p>
        </w:tc>
        <w:tc>
          <w:tcPr>
            <w:tcW w:w="0" w:type="auto"/>
            <w:vAlign w:val="center"/>
            <w:hideMark/>
          </w:tcPr>
          <w:p w14:paraId="1B4CF0FF" w14:textId="77777777" w:rsidR="002753A8" w:rsidRDefault="002753A8">
            <w:r>
              <w:t>Test and security event logging</w:t>
            </w:r>
          </w:p>
        </w:tc>
        <w:tc>
          <w:tcPr>
            <w:tcW w:w="0" w:type="auto"/>
            <w:vAlign w:val="center"/>
            <w:hideMark/>
          </w:tcPr>
          <w:p w14:paraId="71C626B3" w14:textId="77777777" w:rsidR="002753A8" w:rsidRDefault="002753A8">
            <w:r>
              <w:t>Detect</w:t>
            </w:r>
          </w:p>
        </w:tc>
      </w:tr>
      <w:tr w:rsidR="002753A8" w14:paraId="4CC15622" w14:textId="77777777">
        <w:trPr>
          <w:tblCellSpacing w:w="15" w:type="dxa"/>
        </w:trPr>
        <w:tc>
          <w:tcPr>
            <w:tcW w:w="0" w:type="auto"/>
            <w:vAlign w:val="center"/>
            <w:hideMark/>
          </w:tcPr>
          <w:p w14:paraId="567EF446" w14:textId="77777777" w:rsidR="002753A8" w:rsidRDefault="002753A8">
            <w:r>
              <w:t>Vulnerability management</w:t>
            </w:r>
          </w:p>
        </w:tc>
        <w:tc>
          <w:tcPr>
            <w:tcW w:w="0" w:type="auto"/>
            <w:vAlign w:val="center"/>
            <w:hideMark/>
          </w:tcPr>
          <w:p w14:paraId="5F6E083B" w14:textId="77777777" w:rsidR="002753A8" w:rsidRDefault="002753A8">
            <w:r>
              <w:t>Dependency and container security checks in Stage 2</w:t>
            </w:r>
          </w:p>
        </w:tc>
        <w:tc>
          <w:tcPr>
            <w:tcW w:w="0" w:type="auto"/>
            <w:vAlign w:val="center"/>
            <w:hideMark/>
          </w:tcPr>
          <w:p w14:paraId="1B3EA15E" w14:textId="77777777" w:rsidR="002753A8" w:rsidRDefault="002753A8">
            <w:r>
              <w:t>Identify / Protect</w:t>
            </w:r>
          </w:p>
        </w:tc>
      </w:tr>
      <w:tr w:rsidR="002753A8" w14:paraId="0D977CB5" w14:textId="77777777">
        <w:trPr>
          <w:tblCellSpacing w:w="15" w:type="dxa"/>
        </w:trPr>
        <w:tc>
          <w:tcPr>
            <w:tcW w:w="0" w:type="auto"/>
            <w:vAlign w:val="center"/>
            <w:hideMark/>
          </w:tcPr>
          <w:p w14:paraId="30123F07" w14:textId="77777777" w:rsidR="002753A8" w:rsidRDefault="002753A8">
            <w:r>
              <w:t>Secure configuration</w:t>
            </w:r>
          </w:p>
        </w:tc>
        <w:tc>
          <w:tcPr>
            <w:tcW w:w="0" w:type="auto"/>
            <w:vAlign w:val="center"/>
            <w:hideMark/>
          </w:tcPr>
          <w:p w14:paraId="4708BFDE" w14:textId="77777777" w:rsidR="002753A8" w:rsidRDefault="002753A8">
            <w:r>
              <w:t>Hardened application and container configuration</w:t>
            </w:r>
          </w:p>
        </w:tc>
        <w:tc>
          <w:tcPr>
            <w:tcW w:w="0" w:type="auto"/>
            <w:vAlign w:val="center"/>
            <w:hideMark/>
          </w:tcPr>
          <w:p w14:paraId="35B576B3" w14:textId="77777777" w:rsidR="002753A8" w:rsidRDefault="002753A8">
            <w:r>
              <w:t>Protect</w:t>
            </w:r>
          </w:p>
        </w:tc>
      </w:tr>
      <w:tr w:rsidR="002753A8" w14:paraId="67ECFF46" w14:textId="77777777">
        <w:trPr>
          <w:tblCellSpacing w:w="15" w:type="dxa"/>
        </w:trPr>
        <w:tc>
          <w:tcPr>
            <w:tcW w:w="0" w:type="auto"/>
            <w:vAlign w:val="center"/>
            <w:hideMark/>
          </w:tcPr>
          <w:p w14:paraId="0797F0C4" w14:textId="77777777" w:rsidR="002753A8" w:rsidRDefault="002753A8">
            <w:r>
              <w:t>Incident response</w:t>
            </w:r>
          </w:p>
        </w:tc>
        <w:tc>
          <w:tcPr>
            <w:tcW w:w="0" w:type="auto"/>
            <w:vAlign w:val="center"/>
            <w:hideMark/>
          </w:tcPr>
          <w:p w14:paraId="6AFC4DD7" w14:textId="77777777" w:rsidR="002753A8" w:rsidRDefault="002753A8">
            <w:r>
              <w:t>Defined containment, investigation and reporting process</w:t>
            </w:r>
          </w:p>
        </w:tc>
        <w:tc>
          <w:tcPr>
            <w:tcW w:w="0" w:type="auto"/>
            <w:vAlign w:val="center"/>
            <w:hideMark/>
          </w:tcPr>
          <w:p w14:paraId="6C432B9C" w14:textId="77777777" w:rsidR="002753A8" w:rsidRDefault="002753A8">
            <w:r>
              <w:t>Respond</w:t>
            </w:r>
          </w:p>
        </w:tc>
      </w:tr>
      <w:tr w:rsidR="002753A8" w14:paraId="0E09E9D4" w14:textId="77777777">
        <w:trPr>
          <w:tblCellSpacing w:w="15" w:type="dxa"/>
        </w:trPr>
        <w:tc>
          <w:tcPr>
            <w:tcW w:w="0" w:type="auto"/>
            <w:vAlign w:val="center"/>
            <w:hideMark/>
          </w:tcPr>
          <w:p w14:paraId="0A0A0729" w14:textId="77777777" w:rsidR="002753A8" w:rsidRDefault="002753A8">
            <w:r>
              <w:t>Backup and recovery</w:t>
            </w:r>
          </w:p>
        </w:tc>
        <w:tc>
          <w:tcPr>
            <w:tcW w:w="0" w:type="auto"/>
            <w:vAlign w:val="center"/>
            <w:hideMark/>
          </w:tcPr>
          <w:p w14:paraId="3DC1647F" w14:textId="77777777" w:rsidR="002753A8" w:rsidRDefault="002753A8">
            <w:r>
              <w:t>Backup of required configuration and test results</w:t>
            </w:r>
          </w:p>
        </w:tc>
        <w:tc>
          <w:tcPr>
            <w:tcW w:w="0" w:type="auto"/>
            <w:vAlign w:val="center"/>
            <w:hideMark/>
          </w:tcPr>
          <w:p w14:paraId="3F39233E" w14:textId="77777777" w:rsidR="002753A8" w:rsidRDefault="002753A8">
            <w:r>
              <w:t>Recover</w:t>
            </w:r>
          </w:p>
        </w:tc>
      </w:tr>
      <w:tr w:rsidR="002753A8" w14:paraId="5F052ED7" w14:textId="77777777">
        <w:trPr>
          <w:tblCellSpacing w:w="15" w:type="dxa"/>
        </w:trPr>
        <w:tc>
          <w:tcPr>
            <w:tcW w:w="0" w:type="auto"/>
            <w:vAlign w:val="center"/>
            <w:hideMark/>
          </w:tcPr>
          <w:p w14:paraId="2D5C1780" w14:textId="77777777" w:rsidR="002753A8" w:rsidRDefault="002753A8">
            <w:r>
              <w:t>Privacy/compliance</w:t>
            </w:r>
          </w:p>
        </w:tc>
        <w:tc>
          <w:tcPr>
            <w:tcW w:w="0" w:type="auto"/>
            <w:vAlign w:val="center"/>
            <w:hideMark/>
          </w:tcPr>
          <w:p w14:paraId="40FE46CB" w14:textId="77777777" w:rsidR="002753A8" w:rsidRDefault="002753A8">
            <w:r>
              <w:t>No real patient information and alignment with Australian requirements</w:t>
            </w:r>
          </w:p>
        </w:tc>
        <w:tc>
          <w:tcPr>
            <w:tcW w:w="0" w:type="auto"/>
            <w:vAlign w:val="center"/>
            <w:hideMark/>
          </w:tcPr>
          <w:p w14:paraId="75EEA38C" w14:textId="77777777" w:rsidR="002753A8" w:rsidRDefault="002753A8">
            <w:r>
              <w:t>Identify / Protect</w:t>
            </w:r>
          </w:p>
        </w:tc>
      </w:tr>
    </w:tbl>
    <w:p w14:paraId="64E2C70B" w14:textId="77777777" w:rsidR="002753A8" w:rsidRDefault="002753A8" w:rsidP="002753A8">
      <w:pPr>
        <w:pStyle w:val="NormalWeb"/>
      </w:pPr>
      <w:r>
        <w:lastRenderedPageBreak/>
        <w:t>These controls support the project's stated privacy and compliance objectives, including alignment with the Privacy Act 1988 (</w:t>
      </w:r>
      <w:proofErr w:type="spellStart"/>
      <w:r>
        <w:t>Cth</w:t>
      </w:r>
      <w:proofErr w:type="spellEnd"/>
      <w:r>
        <w:t>), My Health Records Act 2012 (</w:t>
      </w:r>
      <w:proofErr w:type="spellStart"/>
      <w:r>
        <w:t>Cth</w:t>
      </w:r>
      <w:proofErr w:type="spellEnd"/>
      <w:r>
        <w:t>) and AU Core requirements.</w:t>
      </w:r>
    </w:p>
    <w:p w14:paraId="6AFAE223" w14:textId="77777777" w:rsidR="002753A8" w:rsidRDefault="002753A8" w:rsidP="002753A8">
      <w:pPr>
        <w:pStyle w:val="Heading2"/>
      </w:pPr>
      <w:r>
        <w:t>4.4 Capital and Non-Capital Cost Estimation</w:t>
      </w:r>
    </w:p>
    <w:p w14:paraId="35C23D32" w14:textId="77777777" w:rsidR="002753A8" w:rsidRDefault="002753A8" w:rsidP="002753A8">
      <w:pPr>
        <w:pStyle w:val="NormalWeb"/>
      </w:pPr>
      <w:r>
        <w:t>The proposed solution has a low direct financial cost because Stage 1 is focused on design and the project is constrained to free-tier and open-source resources. The report states that no client or College budget or cloud services are provided, requiring the team to use free-tier and open-source tools. Existing student computers can therefore support Stage 1 activities without additional hardware expenditure.</w:t>
      </w:r>
    </w:p>
    <w:tbl>
      <w:tblPr>
        <w:tblStyle w:val="PlainTable1"/>
        <w:tblW w:w="0" w:type="auto"/>
        <w:tblLook w:val="04A0" w:firstRow="1" w:lastRow="0" w:firstColumn="1" w:lastColumn="0" w:noHBand="0" w:noVBand="1"/>
      </w:tblPr>
      <w:tblGrid>
        <w:gridCol w:w="2117"/>
        <w:gridCol w:w="1498"/>
        <w:gridCol w:w="2439"/>
        <w:gridCol w:w="3522"/>
      </w:tblGrid>
      <w:tr w:rsidR="002753A8" w14:paraId="5922FE8C" w14:textId="77777777" w:rsidTr="00275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270F7" w14:textId="77777777" w:rsidR="002753A8" w:rsidRDefault="002753A8">
            <w:pPr>
              <w:jc w:val="center"/>
            </w:pPr>
            <w:r>
              <w:rPr>
                <w:b w:val="0"/>
                <w:bCs w:val="0"/>
              </w:rPr>
              <w:t>Cost Category</w:t>
            </w:r>
          </w:p>
        </w:tc>
        <w:tc>
          <w:tcPr>
            <w:tcW w:w="0" w:type="auto"/>
            <w:hideMark/>
          </w:tcPr>
          <w:p w14:paraId="13A4B0B7" w14:textId="77777777" w:rsidR="002753A8" w:rsidRDefault="002753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Stage 1 Estimate (AUD)</w:t>
            </w:r>
          </w:p>
        </w:tc>
        <w:tc>
          <w:tcPr>
            <w:tcW w:w="0" w:type="auto"/>
            <w:hideMark/>
          </w:tcPr>
          <w:p w14:paraId="301C0F0F" w14:textId="77777777" w:rsidR="002753A8" w:rsidRDefault="002753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Future / Stage 2 Consideration</w:t>
            </w:r>
          </w:p>
        </w:tc>
        <w:tc>
          <w:tcPr>
            <w:tcW w:w="0" w:type="auto"/>
            <w:hideMark/>
          </w:tcPr>
          <w:p w14:paraId="3F7A7D3A" w14:textId="77777777" w:rsidR="002753A8" w:rsidRDefault="002753A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Basis</w:t>
            </w:r>
          </w:p>
        </w:tc>
      </w:tr>
      <w:tr w:rsidR="002753A8" w14:paraId="27EDFC6E" w14:textId="77777777" w:rsidTr="00275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C30F4" w14:textId="77777777" w:rsidR="002753A8" w:rsidRDefault="002753A8">
            <w:pPr>
              <w:rPr>
                <w:b w:val="0"/>
                <w:bCs w:val="0"/>
              </w:rPr>
            </w:pPr>
            <w:r>
              <w:t>Existing computer hardware</w:t>
            </w:r>
          </w:p>
        </w:tc>
        <w:tc>
          <w:tcPr>
            <w:tcW w:w="0" w:type="auto"/>
            <w:hideMark/>
          </w:tcPr>
          <w:p w14:paraId="533ED04A"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2BC983F2"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$0–$2,000 if dedicated hardware is required</w:t>
            </w:r>
          </w:p>
        </w:tc>
        <w:tc>
          <w:tcPr>
            <w:tcW w:w="0" w:type="auto"/>
            <w:hideMark/>
          </w:tcPr>
          <w:p w14:paraId="6CD7A551" w14:textId="77777777" w:rsidR="002753A8" w:rsidRDefault="002753A8">
            <w:pPr>
              <w:cnfStyle w:val="000000100000" w:firstRow="0" w:lastRow="0" w:firstColumn="0" w:lastColumn="0" w:oddVBand="0" w:evenVBand="0" w:oddHBand="1" w:evenHBand="0" w:firstRowFirstColumn="0" w:firstRowLastColumn="0" w:lastRowFirstColumn="0" w:lastRowLastColumn="0"/>
            </w:pPr>
            <w:r>
              <w:t>Existing team equipment</w:t>
            </w:r>
          </w:p>
        </w:tc>
      </w:tr>
      <w:tr w:rsidR="002753A8" w14:paraId="3952DF47" w14:textId="77777777" w:rsidTr="002753A8">
        <w:tc>
          <w:tcPr>
            <w:cnfStyle w:val="001000000000" w:firstRow="0" w:lastRow="0" w:firstColumn="1" w:lastColumn="0" w:oddVBand="0" w:evenVBand="0" w:oddHBand="0" w:evenHBand="0" w:firstRowFirstColumn="0" w:firstRowLastColumn="0" w:lastRowFirstColumn="0" w:lastRowLastColumn="0"/>
            <w:tcW w:w="0" w:type="auto"/>
            <w:hideMark/>
          </w:tcPr>
          <w:p w14:paraId="6FF9BFEE" w14:textId="77777777" w:rsidR="002753A8" w:rsidRDefault="002753A8">
            <w:r>
              <w:t xml:space="preserve">Software </w:t>
            </w:r>
            <w:proofErr w:type="spellStart"/>
            <w:r>
              <w:t>licences</w:t>
            </w:r>
            <w:proofErr w:type="spellEnd"/>
          </w:p>
        </w:tc>
        <w:tc>
          <w:tcPr>
            <w:tcW w:w="0" w:type="auto"/>
            <w:hideMark/>
          </w:tcPr>
          <w:p w14:paraId="5B450199"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015B3941"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$0 or vendor-dependent</w:t>
            </w:r>
          </w:p>
        </w:tc>
        <w:tc>
          <w:tcPr>
            <w:tcW w:w="0" w:type="auto"/>
            <w:hideMark/>
          </w:tcPr>
          <w:p w14:paraId="23B030F5" w14:textId="77777777" w:rsidR="002753A8" w:rsidRDefault="002753A8">
            <w:pPr>
              <w:cnfStyle w:val="000000000000" w:firstRow="0" w:lastRow="0" w:firstColumn="0" w:lastColumn="0" w:oddVBand="0" w:evenVBand="0" w:oddHBand="0" w:evenHBand="0" w:firstRowFirstColumn="0" w:firstRowLastColumn="0" w:lastRowFirstColumn="0" w:lastRowLastColumn="0"/>
            </w:pPr>
            <w:r>
              <w:t>Open-source technologies preferred</w:t>
            </w:r>
          </w:p>
        </w:tc>
      </w:tr>
      <w:tr w:rsidR="002753A8" w14:paraId="56C49234" w14:textId="77777777" w:rsidTr="00275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C7595" w14:textId="77777777" w:rsidR="002753A8" w:rsidRDefault="002753A8">
            <w:r>
              <w:t>GitHub repository</w:t>
            </w:r>
          </w:p>
        </w:tc>
        <w:tc>
          <w:tcPr>
            <w:tcW w:w="0" w:type="auto"/>
            <w:hideMark/>
          </w:tcPr>
          <w:p w14:paraId="7F479BA2"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792A9321"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Potential paid features if required</w:t>
            </w:r>
          </w:p>
        </w:tc>
        <w:tc>
          <w:tcPr>
            <w:tcW w:w="0" w:type="auto"/>
            <w:hideMark/>
          </w:tcPr>
          <w:p w14:paraId="715B4DCC" w14:textId="77777777" w:rsidR="002753A8" w:rsidRDefault="002753A8">
            <w:pPr>
              <w:cnfStyle w:val="000000100000" w:firstRow="0" w:lastRow="0" w:firstColumn="0" w:lastColumn="0" w:oddVBand="0" w:evenVBand="0" w:oddHBand="1" w:evenHBand="0" w:firstRowFirstColumn="0" w:firstRowLastColumn="0" w:lastRowFirstColumn="0" w:lastRowLastColumn="0"/>
            </w:pPr>
            <w:r>
              <w:t>Existing project repository</w:t>
            </w:r>
          </w:p>
        </w:tc>
      </w:tr>
      <w:tr w:rsidR="002753A8" w14:paraId="136090D5" w14:textId="77777777" w:rsidTr="002753A8">
        <w:tc>
          <w:tcPr>
            <w:cnfStyle w:val="001000000000" w:firstRow="0" w:lastRow="0" w:firstColumn="1" w:lastColumn="0" w:oddVBand="0" w:evenVBand="0" w:oddHBand="0" w:evenHBand="0" w:firstRowFirstColumn="0" w:firstRowLastColumn="0" w:lastRowFirstColumn="0" w:lastRowLastColumn="0"/>
            <w:tcW w:w="0" w:type="auto"/>
            <w:hideMark/>
          </w:tcPr>
          <w:p w14:paraId="4E29C1E9" w14:textId="77777777" w:rsidR="002753A8" w:rsidRDefault="002753A8">
            <w:r>
              <w:t>Docker / Docker Compose</w:t>
            </w:r>
          </w:p>
        </w:tc>
        <w:tc>
          <w:tcPr>
            <w:tcW w:w="0" w:type="auto"/>
            <w:hideMark/>
          </w:tcPr>
          <w:p w14:paraId="3300EC80"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457DB0B5"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01F0F12A" w14:textId="77777777" w:rsidR="002753A8" w:rsidRDefault="002753A8">
            <w:pPr>
              <w:cnfStyle w:val="000000000000" w:firstRow="0" w:lastRow="0" w:firstColumn="0" w:lastColumn="0" w:oddVBand="0" w:evenVBand="0" w:oddHBand="0" w:evenHBand="0" w:firstRowFirstColumn="0" w:firstRowLastColumn="0" w:lastRowFirstColumn="0" w:lastRowLastColumn="0"/>
            </w:pPr>
            <w:r>
              <w:t>Open-source deployment technology</w:t>
            </w:r>
          </w:p>
        </w:tc>
      </w:tr>
      <w:tr w:rsidR="002753A8" w14:paraId="19D155F1" w14:textId="77777777" w:rsidTr="00275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0F42C" w14:textId="77777777" w:rsidR="002753A8" w:rsidRDefault="002753A8">
            <w:r>
              <w:t>Cloud services</w:t>
            </w:r>
          </w:p>
        </w:tc>
        <w:tc>
          <w:tcPr>
            <w:tcW w:w="0" w:type="auto"/>
            <w:hideMark/>
          </w:tcPr>
          <w:p w14:paraId="0BC4470E"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03E69C5C"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TBD</w:t>
            </w:r>
          </w:p>
        </w:tc>
        <w:tc>
          <w:tcPr>
            <w:tcW w:w="0" w:type="auto"/>
            <w:hideMark/>
          </w:tcPr>
          <w:p w14:paraId="410938B5" w14:textId="77777777" w:rsidR="002753A8" w:rsidRDefault="002753A8">
            <w:pPr>
              <w:cnfStyle w:val="000000100000" w:firstRow="0" w:lastRow="0" w:firstColumn="0" w:lastColumn="0" w:oddVBand="0" w:evenVBand="0" w:oddHBand="1" w:evenHBand="0" w:firstRowFirstColumn="0" w:firstRowLastColumn="0" w:lastRowFirstColumn="0" w:lastRowLastColumn="0"/>
            </w:pPr>
            <w:r>
              <w:t>Not required for Stage 1; dependent on Stage 2 deployment</w:t>
            </w:r>
          </w:p>
        </w:tc>
      </w:tr>
      <w:tr w:rsidR="002753A8" w14:paraId="708B475F" w14:textId="77777777" w:rsidTr="002753A8">
        <w:tc>
          <w:tcPr>
            <w:cnfStyle w:val="001000000000" w:firstRow="0" w:lastRow="0" w:firstColumn="1" w:lastColumn="0" w:oddVBand="0" w:evenVBand="0" w:oddHBand="0" w:evenHBand="0" w:firstRowFirstColumn="0" w:firstRowLastColumn="0" w:lastRowFirstColumn="0" w:lastRowLastColumn="0"/>
            <w:tcW w:w="0" w:type="auto"/>
            <w:hideMark/>
          </w:tcPr>
          <w:p w14:paraId="0EDABE65" w14:textId="77777777" w:rsidR="002753A8" w:rsidRDefault="002753A8">
            <w:r>
              <w:t>Subscriptions</w:t>
            </w:r>
          </w:p>
        </w:tc>
        <w:tc>
          <w:tcPr>
            <w:tcW w:w="0" w:type="auto"/>
            <w:hideMark/>
          </w:tcPr>
          <w:p w14:paraId="78C6D2DF"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7E94BF53"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TBD</w:t>
            </w:r>
          </w:p>
        </w:tc>
        <w:tc>
          <w:tcPr>
            <w:tcW w:w="0" w:type="auto"/>
            <w:hideMark/>
          </w:tcPr>
          <w:p w14:paraId="2B7CDF32" w14:textId="77777777" w:rsidR="002753A8" w:rsidRDefault="002753A8">
            <w:pPr>
              <w:cnfStyle w:val="000000000000" w:firstRow="0" w:lastRow="0" w:firstColumn="0" w:lastColumn="0" w:oddVBand="0" w:evenVBand="0" w:oddHBand="0" w:evenHBand="0" w:firstRowFirstColumn="0" w:firstRowLastColumn="0" w:lastRowFirstColumn="0" w:lastRowLastColumn="0"/>
            </w:pPr>
            <w:r>
              <w:t>No paid subscription currently identified</w:t>
            </w:r>
          </w:p>
        </w:tc>
      </w:tr>
      <w:tr w:rsidR="002753A8" w14:paraId="68397771" w14:textId="77777777" w:rsidTr="00275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DE8EC" w14:textId="77777777" w:rsidR="002753A8" w:rsidRDefault="002753A8">
            <w:proofErr w:type="spellStart"/>
            <w:r>
              <w:t>Labour</w:t>
            </w:r>
            <w:proofErr w:type="spellEnd"/>
          </w:p>
        </w:tc>
        <w:tc>
          <w:tcPr>
            <w:tcW w:w="0" w:type="auto"/>
            <w:hideMark/>
          </w:tcPr>
          <w:p w14:paraId="241D5E4F"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15B7B57F"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TBD</w:t>
            </w:r>
          </w:p>
        </w:tc>
        <w:tc>
          <w:tcPr>
            <w:tcW w:w="0" w:type="auto"/>
            <w:hideMark/>
          </w:tcPr>
          <w:p w14:paraId="43BA96D6" w14:textId="77777777" w:rsidR="002753A8" w:rsidRDefault="002753A8">
            <w:pPr>
              <w:cnfStyle w:val="000000100000" w:firstRow="0" w:lastRow="0" w:firstColumn="0" w:lastColumn="0" w:oddVBand="0" w:evenVBand="0" w:oddHBand="1" w:evenHBand="0" w:firstRowFirstColumn="0" w:firstRowLastColumn="0" w:lastRowFirstColumn="0" w:lastRowLastColumn="0"/>
            </w:pPr>
            <w:r>
              <w:t xml:space="preserve">Student project </w:t>
            </w:r>
            <w:proofErr w:type="spellStart"/>
            <w:r>
              <w:t>labour</w:t>
            </w:r>
            <w:proofErr w:type="spellEnd"/>
            <w:r>
              <w:t xml:space="preserve"> excluded from direct project expenditure</w:t>
            </w:r>
          </w:p>
        </w:tc>
      </w:tr>
      <w:tr w:rsidR="002753A8" w14:paraId="6E3B5981" w14:textId="77777777" w:rsidTr="002753A8">
        <w:tc>
          <w:tcPr>
            <w:cnfStyle w:val="001000000000" w:firstRow="0" w:lastRow="0" w:firstColumn="1" w:lastColumn="0" w:oddVBand="0" w:evenVBand="0" w:oddHBand="0" w:evenHBand="0" w:firstRowFirstColumn="0" w:firstRowLastColumn="0" w:lastRowFirstColumn="0" w:lastRowLastColumn="0"/>
            <w:tcW w:w="0" w:type="auto"/>
            <w:hideMark/>
          </w:tcPr>
          <w:p w14:paraId="7FA812DF" w14:textId="77777777" w:rsidR="002753A8" w:rsidRDefault="002753A8">
            <w:r>
              <w:t>Training</w:t>
            </w:r>
          </w:p>
        </w:tc>
        <w:tc>
          <w:tcPr>
            <w:tcW w:w="0" w:type="auto"/>
            <w:hideMark/>
          </w:tcPr>
          <w:p w14:paraId="6DE8F9A2"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1DBDA906"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TBD</w:t>
            </w:r>
          </w:p>
        </w:tc>
        <w:tc>
          <w:tcPr>
            <w:tcW w:w="0" w:type="auto"/>
            <w:hideMark/>
          </w:tcPr>
          <w:p w14:paraId="100A17AF" w14:textId="77777777" w:rsidR="002753A8" w:rsidRDefault="002753A8">
            <w:pPr>
              <w:cnfStyle w:val="000000000000" w:firstRow="0" w:lastRow="0" w:firstColumn="0" w:lastColumn="0" w:oddVBand="0" w:evenVBand="0" w:oddHBand="0" w:evenHBand="0" w:firstRowFirstColumn="0" w:firstRowLastColumn="0" w:lastRowFirstColumn="0" w:lastRowLastColumn="0"/>
            </w:pPr>
            <w:r>
              <w:t>Existing project knowledge/resources</w:t>
            </w:r>
          </w:p>
        </w:tc>
      </w:tr>
      <w:tr w:rsidR="002753A8" w14:paraId="0FA2D456" w14:textId="77777777" w:rsidTr="00275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5AE42" w14:textId="77777777" w:rsidR="002753A8" w:rsidRDefault="002753A8">
            <w:r>
              <w:t>Maintenance</w:t>
            </w:r>
          </w:p>
        </w:tc>
        <w:tc>
          <w:tcPr>
            <w:tcW w:w="0" w:type="auto"/>
            <w:hideMark/>
          </w:tcPr>
          <w:p w14:paraId="075B18AF"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4CCEAB0B"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TBD</w:t>
            </w:r>
          </w:p>
        </w:tc>
        <w:tc>
          <w:tcPr>
            <w:tcW w:w="0" w:type="auto"/>
            <w:hideMark/>
          </w:tcPr>
          <w:p w14:paraId="2F84AB0D" w14:textId="77777777" w:rsidR="002753A8" w:rsidRDefault="002753A8">
            <w:pPr>
              <w:cnfStyle w:val="000000100000" w:firstRow="0" w:lastRow="0" w:firstColumn="0" w:lastColumn="0" w:oddVBand="0" w:evenVBand="0" w:oddHBand="1" w:evenHBand="0" w:firstRowFirstColumn="0" w:firstRowLastColumn="0" w:lastRowFirstColumn="0" w:lastRowLastColumn="0"/>
            </w:pPr>
            <w:r>
              <w:t>Required after deployment</w:t>
            </w:r>
          </w:p>
        </w:tc>
      </w:tr>
      <w:tr w:rsidR="002753A8" w14:paraId="6A820E14" w14:textId="77777777" w:rsidTr="002753A8">
        <w:tc>
          <w:tcPr>
            <w:cnfStyle w:val="001000000000" w:firstRow="0" w:lastRow="0" w:firstColumn="1" w:lastColumn="0" w:oddVBand="0" w:evenVBand="0" w:oddHBand="0" w:evenHBand="0" w:firstRowFirstColumn="0" w:firstRowLastColumn="0" w:lastRowFirstColumn="0" w:lastRowLastColumn="0"/>
            <w:tcW w:w="0" w:type="auto"/>
            <w:hideMark/>
          </w:tcPr>
          <w:p w14:paraId="74B8AD13" w14:textId="77777777" w:rsidR="002753A8" w:rsidRDefault="002753A8">
            <w:r>
              <w:t>Operational support</w:t>
            </w:r>
          </w:p>
        </w:tc>
        <w:tc>
          <w:tcPr>
            <w:tcW w:w="0" w:type="auto"/>
            <w:hideMark/>
          </w:tcPr>
          <w:p w14:paraId="6BD496D4"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55AB36A1" w14:textId="77777777" w:rsidR="002753A8" w:rsidRDefault="002753A8">
            <w:pPr>
              <w:jc w:val="right"/>
              <w:cnfStyle w:val="000000000000" w:firstRow="0" w:lastRow="0" w:firstColumn="0" w:lastColumn="0" w:oddVBand="0" w:evenVBand="0" w:oddHBand="0" w:evenHBand="0" w:firstRowFirstColumn="0" w:firstRowLastColumn="0" w:lastRowFirstColumn="0" w:lastRowLastColumn="0"/>
            </w:pPr>
            <w:r>
              <w:t>TBD</w:t>
            </w:r>
          </w:p>
        </w:tc>
        <w:tc>
          <w:tcPr>
            <w:tcW w:w="0" w:type="auto"/>
            <w:hideMark/>
          </w:tcPr>
          <w:p w14:paraId="245BA2D2" w14:textId="77777777" w:rsidR="002753A8" w:rsidRDefault="002753A8">
            <w:pPr>
              <w:cnfStyle w:val="000000000000" w:firstRow="0" w:lastRow="0" w:firstColumn="0" w:lastColumn="0" w:oddVBand="0" w:evenVBand="0" w:oddHBand="0" w:evenHBand="0" w:firstRowFirstColumn="0" w:firstRowLastColumn="0" w:lastRowFirstColumn="0" w:lastRowLastColumn="0"/>
            </w:pPr>
            <w:r>
              <w:t>Dependent on production adoption</w:t>
            </w:r>
          </w:p>
        </w:tc>
      </w:tr>
      <w:tr w:rsidR="002753A8" w14:paraId="07863E14" w14:textId="77777777" w:rsidTr="00275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31386" w14:textId="77777777" w:rsidR="002753A8" w:rsidRDefault="002753A8">
            <w:r>
              <w:t>Scalability</w:t>
            </w:r>
          </w:p>
        </w:tc>
        <w:tc>
          <w:tcPr>
            <w:tcW w:w="0" w:type="auto"/>
            <w:hideMark/>
          </w:tcPr>
          <w:p w14:paraId="65F0B1A0"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5DDB3EEF" w14:textId="77777777" w:rsidR="002753A8" w:rsidRDefault="002753A8">
            <w:pPr>
              <w:jc w:val="right"/>
              <w:cnfStyle w:val="000000100000" w:firstRow="0" w:lastRow="0" w:firstColumn="0" w:lastColumn="0" w:oddVBand="0" w:evenVBand="0" w:oddHBand="1" w:evenHBand="0" w:firstRowFirstColumn="0" w:firstRowLastColumn="0" w:lastRowFirstColumn="0" w:lastRowLastColumn="0"/>
            </w:pPr>
            <w:r>
              <w:t>TBD</w:t>
            </w:r>
          </w:p>
        </w:tc>
        <w:tc>
          <w:tcPr>
            <w:tcW w:w="0" w:type="auto"/>
            <w:hideMark/>
          </w:tcPr>
          <w:p w14:paraId="3F0A41AC" w14:textId="77777777" w:rsidR="002753A8" w:rsidRDefault="002753A8">
            <w:pPr>
              <w:cnfStyle w:val="000000100000" w:firstRow="0" w:lastRow="0" w:firstColumn="0" w:lastColumn="0" w:oddVBand="0" w:evenVBand="0" w:oddHBand="1" w:evenHBand="0" w:firstRowFirstColumn="0" w:firstRowLastColumn="0" w:lastRowFirstColumn="0" w:lastRowLastColumn="0"/>
            </w:pPr>
            <w:r>
              <w:t>Dependent on connector and data-volume growth</w:t>
            </w:r>
          </w:p>
        </w:tc>
      </w:tr>
    </w:tbl>
    <w:p w14:paraId="44082988" w14:textId="77777777" w:rsidR="002753A8" w:rsidRDefault="002753A8" w:rsidP="002753A8">
      <w:pPr>
        <w:pStyle w:val="NormalWeb"/>
      </w:pPr>
      <w:r>
        <w:t>*Labour is not included as a direct financial expenditure for the student project; an organisational implementation would need to account for engineering and support labour.</w:t>
      </w:r>
    </w:p>
    <w:p w14:paraId="082E1CF4" w14:textId="77777777" w:rsidR="002753A8" w:rsidRDefault="002753A8" w:rsidP="002753A8">
      <w:pPr>
        <w:pStyle w:val="NormalWeb"/>
      </w:pPr>
      <w:r>
        <w:lastRenderedPageBreak/>
        <w:t>The solution provides cost benefits beyond its low initial expenditure. A reusable synthetic test environment can reduce reliance on production-adjacent testing, support repeatable connector validation and reduce the risk associated with privacy incidents or undetected interoperability errors. It may also reduce future testing effort when additional connectors are introduced. However, a reliable monetary ROI or break-even point cannot be calculated because the available project information does not provide FAZ Australia's historical testing costs, incident costs, engineering labour rates or expected implementation savings. It would therefore be inappropriate to invent a financial return figure. The Stage 1 design instead demonstrates a favourable qualitative cost-benefit relationship: minimal initial infrastructure expenditure in exchange for improved testing safety, repeatability and risk reduction.</w:t>
      </w:r>
    </w:p>
    <w:p w14:paraId="510C3538" w14:textId="37AE6750" w:rsidR="003D34E5" w:rsidRPr="002753A8" w:rsidRDefault="003D34E5" w:rsidP="002753A8"/>
    <w:sectPr w:rsidR="003D34E5" w:rsidRPr="002753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53898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43144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34E5"/>
    <w:rsid w:val="002753A8"/>
    <w:rsid w:val="003D34E5"/>
    <w:rsid w:val="005A69D7"/>
    <w:rsid w:val="007F1015"/>
    <w:rsid w:val="008E5463"/>
    <w:rsid w:val="00A01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9F68A3"/>
  <w15:docId w15:val="{A1A927F3-16F0-6048-AAAF-0445F06F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Accent1">
    <w:name w:val="Grid Table 1 Light Accent 1"/>
    <w:basedOn w:val="TableNormal"/>
    <w:uiPriority w:val="46"/>
    <w:rsid w:val="005A69D7"/>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
    <w:name w:val="Grid Table 3"/>
    <w:basedOn w:val="TableNormal"/>
    <w:rsid w:val="005A69D7"/>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rsid w:val="005A69D7"/>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rsid w:val="005A69D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753A8"/>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275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Rikesh ARYAL</cp:lastModifiedBy>
  <cp:revision>2</cp:revision>
  <dcterms:created xsi:type="dcterms:W3CDTF">1970-01-01T00:00:00Z</dcterms:created>
  <dcterms:modified xsi:type="dcterms:W3CDTF">2026-08-31T01:33:00Z</dcterms:modified>
</cp:coreProperties>
</file>