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697C7" w14:textId="77777777" w:rsidR="00C16E6F" w:rsidRPr="00C16E6F" w:rsidRDefault="00C16E6F" w:rsidP="00556C94">
      <w:pPr>
        <w:jc w:val="both"/>
        <w:rPr>
          <w:rFonts w:ascii="Times New Roman" w:hAnsi="Times New Roman" w:cs="Times New Roman"/>
          <w:b/>
          <w:bCs/>
        </w:rPr>
      </w:pPr>
      <w:r w:rsidRPr="00C16E6F">
        <w:rPr>
          <w:rFonts w:ascii="Times New Roman" w:hAnsi="Times New Roman" w:cs="Times New Roman"/>
          <w:b/>
          <w:bCs/>
        </w:rPr>
        <w:t>5.1 Sprint Plan</w:t>
      </w:r>
    </w:p>
    <w:p w14:paraId="15E98616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  <w:b/>
          <w:bCs/>
        </w:rPr>
        <w:t>Sprint 1 — Weeks 6–7: Container Foundation and Error-Handler First</w:t>
      </w:r>
    </w:p>
    <w:p w14:paraId="3AC9B6D6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t xml:space="preserve">Sprint 1 spans Weeks 6–7 and focuses on establishing the containerised foundation and core error-handling framework for the Synthetic Test Harness. The sprint goal is to validate that the selected technology stack—Python </w:t>
      </w:r>
      <w:proofErr w:type="spellStart"/>
      <w:r w:rsidRPr="00C16E6F">
        <w:rPr>
          <w:rFonts w:ascii="Times New Roman" w:hAnsi="Times New Roman" w:cs="Times New Roman"/>
        </w:rPr>
        <w:t>FastAPI</w:t>
      </w:r>
      <w:proofErr w:type="spellEnd"/>
      <w:r w:rsidRPr="00C16E6F">
        <w:rPr>
          <w:rFonts w:ascii="Times New Roman" w:hAnsi="Times New Roman" w:cs="Times New Roman"/>
        </w:rPr>
        <w:t xml:space="preserve">, HAPI FHIR, PostgreSQL, and Docker Compose—can serve a synthetic FHIR R4 Patient resource and return a correctly formatted </w:t>
      </w:r>
      <w:proofErr w:type="spellStart"/>
      <w:r w:rsidRPr="00C16E6F">
        <w:rPr>
          <w:rFonts w:ascii="Times New Roman" w:hAnsi="Times New Roman" w:cs="Times New Roman"/>
        </w:rPr>
        <w:t>OperationOutcome</w:t>
      </w:r>
      <w:proofErr w:type="spellEnd"/>
      <w:r w:rsidRPr="00C16E6F">
        <w:rPr>
          <w:rFonts w:ascii="Times New Roman" w:hAnsi="Times New Roman" w:cs="Times New Roman"/>
        </w:rPr>
        <w:t xml:space="preserve"> before adding integration complexity.</w:t>
      </w:r>
    </w:p>
    <w:p w14:paraId="6777F619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t>As Testing and Documentation Lead, my Jira tasks (HITH-31 to HITH-34) cover four work streams: (1) authoring the docker-</w:t>
      </w:r>
      <w:proofErr w:type="spellStart"/>
      <w:r w:rsidRPr="00C16E6F">
        <w:rPr>
          <w:rFonts w:ascii="Times New Roman" w:hAnsi="Times New Roman" w:cs="Times New Roman"/>
        </w:rPr>
        <w:t>compose.yml</w:t>
      </w:r>
      <w:proofErr w:type="spellEnd"/>
      <w:r w:rsidRPr="00C16E6F">
        <w:rPr>
          <w:rFonts w:ascii="Times New Roman" w:hAnsi="Times New Roman" w:cs="Times New Roman"/>
        </w:rPr>
        <w:t xml:space="preserve"> orchestration file that networks the Test Harness API, mock Best Practice Halo Connect connector, and PostgreSQL persistence layer; (2) implementing the </w:t>
      </w:r>
      <w:proofErr w:type="spellStart"/>
      <w:r w:rsidRPr="00C16E6F">
        <w:rPr>
          <w:rFonts w:ascii="Times New Roman" w:hAnsi="Times New Roman" w:cs="Times New Roman"/>
        </w:rPr>
        <w:t>OperationOutcome</w:t>
      </w:r>
      <w:proofErr w:type="spellEnd"/>
      <w:r w:rsidRPr="00C16E6F">
        <w:rPr>
          <w:rFonts w:ascii="Times New Roman" w:hAnsi="Times New Roman" w:cs="Times New Roman"/>
        </w:rPr>
        <w:t xml:space="preserve"> response handler (TH-001–TH-010) as the first Stage 2 code module, since every downstream component depends on consistent error formatting; (3) scaffolding the </w:t>
      </w:r>
      <w:proofErr w:type="spellStart"/>
      <w:r w:rsidRPr="00C16E6F">
        <w:rPr>
          <w:rFonts w:ascii="Times New Roman" w:hAnsi="Times New Roman" w:cs="Times New Roman"/>
        </w:rPr>
        <w:t>PyTest</w:t>
      </w:r>
      <w:proofErr w:type="spellEnd"/>
      <w:r w:rsidRPr="00C16E6F">
        <w:rPr>
          <w:rFonts w:ascii="Times New Roman" w:hAnsi="Times New Roman" w:cs="Times New Roman"/>
        </w:rPr>
        <w:t xml:space="preserve"> automation framework with fixtures for the eight failure mode tests designed in Stage 1; and (4) documenting the technology stack decision in docs/tech-stack-decision.md with mentor sign-off.</w:t>
      </w:r>
    </w:p>
    <w:p w14:paraId="00290C6E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t xml:space="preserve">Charity delivers the frozen synthetic dataset (50 Patient records across diabetes, hypertension, and asthma) under HEAL-31. </w:t>
      </w:r>
      <w:proofErr w:type="spellStart"/>
      <w:r w:rsidRPr="00C16E6F">
        <w:rPr>
          <w:rFonts w:ascii="Times New Roman" w:hAnsi="Times New Roman" w:cs="Times New Roman"/>
        </w:rPr>
        <w:t>Rikesh</w:t>
      </w:r>
      <w:proofErr w:type="spellEnd"/>
      <w:r w:rsidRPr="00C16E6F">
        <w:rPr>
          <w:rFonts w:ascii="Times New Roman" w:hAnsi="Times New Roman" w:cs="Times New Roman"/>
        </w:rPr>
        <w:t xml:space="preserve"> configures the HAPI FHIR R4 validation engine against published AU Core </w:t>
      </w:r>
      <w:proofErr w:type="spellStart"/>
      <w:r w:rsidRPr="00C16E6F">
        <w:rPr>
          <w:rFonts w:ascii="Times New Roman" w:hAnsi="Times New Roman" w:cs="Times New Roman"/>
        </w:rPr>
        <w:t>StructureDefinitions</w:t>
      </w:r>
      <w:proofErr w:type="spellEnd"/>
      <w:r w:rsidRPr="00C16E6F">
        <w:rPr>
          <w:rFonts w:ascii="Times New Roman" w:hAnsi="Times New Roman" w:cs="Times New Roman"/>
        </w:rPr>
        <w:t xml:space="preserve"> (HITH-35). Sonam updates the C4 container diagram to reflect Docker networking constraints (HEAL-32). The team observes daily 15-minute stand-ups via Microsoft Teams and uses GitHub Actions for continuous integration linting. The Definition of Done requires peer-reviewed pull requests, passing container health checks, and reproducible README.md setup instructions that allow the mentor to clone and run the stack unaided.</w:t>
      </w:r>
    </w:p>
    <w:p w14:paraId="1EF466CB" w14:textId="77777777" w:rsidR="00C16E6F" w:rsidRPr="00C16E6F" w:rsidRDefault="00C16E6F" w:rsidP="00556C94">
      <w:pPr>
        <w:jc w:val="both"/>
        <w:rPr>
          <w:rFonts w:ascii="Times New Roman" w:hAnsi="Times New Roman" w:cs="Times New Roman"/>
          <w:b/>
          <w:bCs/>
        </w:rPr>
      </w:pPr>
      <w:r w:rsidRPr="00C16E6F">
        <w:rPr>
          <w:rFonts w:ascii="Times New Roman" w:hAnsi="Times New Roman" w:cs="Times New Roman"/>
          <w:b/>
          <w:bCs/>
        </w:rPr>
        <w:t>5.2 Proof of Concept Description</w:t>
      </w:r>
    </w:p>
    <w:p w14:paraId="21183371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t xml:space="preserve">The Proof of Concept (PoC) for Week 6 is a minimal yet complete containerised FHIR R4 sandbox that demonstrates end-to-end data flow from synthetic storage to validated API response. It implements the P2 recommendation from the Week 5 feasibility report by constructing a Docker Compose stack comprising three services: a Python </w:t>
      </w:r>
      <w:proofErr w:type="spellStart"/>
      <w:r w:rsidRPr="00C16E6F">
        <w:rPr>
          <w:rFonts w:ascii="Times New Roman" w:hAnsi="Times New Roman" w:cs="Times New Roman"/>
        </w:rPr>
        <w:t>FastAPI</w:t>
      </w:r>
      <w:proofErr w:type="spellEnd"/>
      <w:r w:rsidRPr="00C16E6F">
        <w:rPr>
          <w:rFonts w:ascii="Times New Roman" w:hAnsi="Times New Roman" w:cs="Times New Roman"/>
        </w:rPr>
        <w:t xml:space="preserve"> application that acts as the Test Harness API layer, a PostgreSQL 15 database seeded with the frozen synthetic dataset of 50 Patient records (MRN prefix SYNTH-, invalid IHIs that fail the </w:t>
      </w:r>
      <w:proofErr w:type="spellStart"/>
      <w:r w:rsidRPr="00C16E6F">
        <w:rPr>
          <w:rFonts w:ascii="Times New Roman" w:hAnsi="Times New Roman" w:cs="Times New Roman"/>
        </w:rPr>
        <w:t>Luhn</w:t>
      </w:r>
      <w:proofErr w:type="spellEnd"/>
      <w:r w:rsidRPr="00C16E6F">
        <w:rPr>
          <w:rFonts w:ascii="Times New Roman" w:hAnsi="Times New Roman" w:cs="Times New Roman"/>
        </w:rPr>
        <w:t xml:space="preserve"> check per DVR-02, and SNOMED CT-AU coded conditions for diabetes, hypertension, and asthma), and a HAPI FHIR R4 validation stub that consumes the published AU Core v1.x </w:t>
      </w:r>
      <w:proofErr w:type="spellStart"/>
      <w:r w:rsidRPr="00C16E6F">
        <w:rPr>
          <w:rFonts w:ascii="Times New Roman" w:hAnsi="Times New Roman" w:cs="Times New Roman"/>
        </w:rPr>
        <w:t>StructureDefinitions</w:t>
      </w:r>
      <w:proofErr w:type="spellEnd"/>
      <w:r w:rsidRPr="00C16E6F">
        <w:rPr>
          <w:rFonts w:ascii="Times New Roman" w:hAnsi="Times New Roman" w:cs="Times New Roman"/>
        </w:rPr>
        <w:t>.</w:t>
      </w:r>
    </w:p>
    <w:p w14:paraId="387A4AA5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t>The PoC exposes exactly one "hello world" endpoint—GET /</w:t>
      </w:r>
      <w:proofErr w:type="spellStart"/>
      <w:r w:rsidRPr="00C16E6F">
        <w:rPr>
          <w:rFonts w:ascii="Times New Roman" w:hAnsi="Times New Roman" w:cs="Times New Roman"/>
        </w:rPr>
        <w:t>fhir</w:t>
      </w:r>
      <w:proofErr w:type="spellEnd"/>
      <w:r w:rsidRPr="00C16E6F">
        <w:rPr>
          <w:rFonts w:ascii="Times New Roman" w:hAnsi="Times New Roman" w:cs="Times New Roman"/>
        </w:rPr>
        <w:t xml:space="preserve">/R4/Patient/SYNTH-001—which returns a valid AU Core Patient resource complete with </w:t>
      </w:r>
      <w:proofErr w:type="spellStart"/>
      <w:r w:rsidRPr="00C16E6F">
        <w:rPr>
          <w:rFonts w:ascii="Times New Roman" w:hAnsi="Times New Roman" w:cs="Times New Roman"/>
        </w:rPr>
        <w:t>meta.tag</w:t>
      </w:r>
      <w:proofErr w:type="spellEnd"/>
      <w:r w:rsidRPr="00C16E6F">
        <w:rPr>
          <w:rFonts w:ascii="Times New Roman" w:hAnsi="Times New Roman" w:cs="Times New Roman"/>
        </w:rPr>
        <w:t xml:space="preserve"> marking synthetic origin. If the requested resource identifier is malformed or accidentally passes the </w:t>
      </w:r>
      <w:proofErr w:type="spellStart"/>
      <w:r w:rsidRPr="00C16E6F">
        <w:rPr>
          <w:rFonts w:ascii="Times New Roman" w:hAnsi="Times New Roman" w:cs="Times New Roman"/>
        </w:rPr>
        <w:t>Luhn</w:t>
      </w:r>
      <w:proofErr w:type="spellEnd"/>
      <w:r w:rsidRPr="00C16E6F">
        <w:rPr>
          <w:rFonts w:ascii="Times New Roman" w:hAnsi="Times New Roman" w:cs="Times New Roman"/>
        </w:rPr>
        <w:t xml:space="preserve"> check (simulating real-data contamination), the endpoint returns a structured </w:t>
      </w:r>
      <w:proofErr w:type="spellStart"/>
      <w:r w:rsidRPr="00C16E6F">
        <w:rPr>
          <w:rFonts w:ascii="Times New Roman" w:hAnsi="Times New Roman" w:cs="Times New Roman"/>
        </w:rPr>
        <w:t>OperationOutcome</w:t>
      </w:r>
      <w:proofErr w:type="spellEnd"/>
      <w:r w:rsidRPr="00C16E6F">
        <w:rPr>
          <w:rFonts w:ascii="Times New Roman" w:hAnsi="Times New Roman" w:cs="Times New Roman"/>
        </w:rPr>
        <w:t xml:space="preserve"> with internal code TH-003 (malformed resource) or TH-005 (real identifier rejected) instead of a raw stack trace or verbose server error. This validates that the error-handling foundation designed in Stage 1 operates correctly in code before any connector integration is attempted.</w:t>
      </w:r>
    </w:p>
    <w:p w14:paraId="468E788D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lastRenderedPageBreak/>
        <w:t>This deliberately narrow scope excludes HL7 v2.4 MLLP messaging, SNOMED CT-AU to ICD-10-AM/MBS mapping logic, token bucket rate limiting, and negative-path fault injection. By isolating the core request-response loop first, the team de-risks container networking, database connectivity, and FHIR serialization before adding complexity.</w:t>
      </w:r>
    </w:p>
    <w:p w14:paraId="62B3A68B" w14:textId="77777777" w:rsidR="00C16E6F" w:rsidRPr="00C16E6F" w:rsidRDefault="00C16E6F" w:rsidP="00556C94">
      <w:pPr>
        <w:jc w:val="both"/>
        <w:rPr>
          <w:rFonts w:ascii="Times New Roman" w:hAnsi="Times New Roman" w:cs="Times New Roman"/>
        </w:rPr>
      </w:pPr>
      <w:r w:rsidRPr="00C16E6F">
        <w:rPr>
          <w:rFonts w:ascii="Times New Roman" w:hAnsi="Times New Roman" w:cs="Times New Roman"/>
        </w:rPr>
        <w:t xml:space="preserve">Success criteria align with the Starter Kit technical acceptance gates: Atif Nisar must be able to clone the GitHub repository, execute docker-compose up --build, and receive either the expected AU Core Patient JSON or a correctly formatted </w:t>
      </w:r>
      <w:proofErr w:type="spellStart"/>
      <w:r w:rsidRPr="00C16E6F">
        <w:rPr>
          <w:rFonts w:ascii="Times New Roman" w:hAnsi="Times New Roman" w:cs="Times New Roman"/>
        </w:rPr>
        <w:t>OperationOutcome</w:t>
      </w:r>
      <w:proofErr w:type="spellEnd"/>
      <w:r w:rsidRPr="00C16E6F">
        <w:rPr>
          <w:rFonts w:ascii="Times New Roman" w:hAnsi="Times New Roman" w:cs="Times New Roman"/>
        </w:rPr>
        <w:t xml:space="preserve"> within five seconds, without manual configuration. The PoC therefore validates four critical architectural assumptions: (1) Docker Compose orchestration is feasible across the team's mixed development environments; (2) synthetic data integrity rules (DVR-01 to DVR-08) enforce the Privacy Act 1988 compliant dataset; (3) HAPI FHIR programmatically validates AU Core conformance rather than assuming it; and (4) the </w:t>
      </w:r>
      <w:proofErr w:type="spellStart"/>
      <w:r w:rsidRPr="00C16E6F">
        <w:rPr>
          <w:rFonts w:ascii="Times New Roman" w:hAnsi="Times New Roman" w:cs="Times New Roman"/>
        </w:rPr>
        <w:t>OperationOutcome</w:t>
      </w:r>
      <w:proofErr w:type="spellEnd"/>
      <w:r w:rsidRPr="00C16E6F">
        <w:rPr>
          <w:rFonts w:ascii="Times New Roman" w:hAnsi="Times New Roman" w:cs="Times New Roman"/>
        </w:rPr>
        <w:t xml:space="preserve"> handler pattern provides a safe, extensible foundation for all downstream error responses. Upon mentor approval of the Week 6 demonstration, Sprint 2 will iteratively add the MLLP gateway, tenant isolation middleware, rate limiting, and the full negative-path fault injection suite.</w:t>
      </w:r>
    </w:p>
    <w:p w14:paraId="485B185E" w14:textId="77777777" w:rsidR="006D7B2D" w:rsidRPr="00BD13D8" w:rsidRDefault="006D7B2D" w:rsidP="00556C94">
      <w:pPr>
        <w:jc w:val="both"/>
        <w:rPr>
          <w:rFonts w:ascii="Times New Roman" w:hAnsi="Times New Roman" w:cs="Times New Roman"/>
        </w:rPr>
      </w:pPr>
    </w:p>
    <w:sectPr w:rsidR="006D7B2D" w:rsidRPr="00BD1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2D"/>
    <w:rsid w:val="00556C94"/>
    <w:rsid w:val="006D7B2D"/>
    <w:rsid w:val="00BD13D8"/>
    <w:rsid w:val="00C16E6F"/>
    <w:rsid w:val="00F9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7CDA"/>
  <w15:chartTrackingRefBased/>
  <w15:docId w15:val="{FC216DF3-9689-471C-9578-EE1558E8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4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32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85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6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5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8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08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1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7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4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Adil Soomro</dc:creator>
  <cp:keywords/>
  <dc:description/>
  <cp:lastModifiedBy>Zubair Adil Soomro</cp:lastModifiedBy>
  <cp:revision>4</cp:revision>
  <dcterms:created xsi:type="dcterms:W3CDTF">2026-08-30T14:04:00Z</dcterms:created>
  <dcterms:modified xsi:type="dcterms:W3CDTF">2026-08-30T14:12:00Z</dcterms:modified>
</cp:coreProperties>
</file>