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32"/>
          <w:szCs w:val="32"/>
        </w:rPr>
        <w:t xml:space="preserve">Weeks 1–5 – Rough Draft (working branch)</w:t>
      </w:r>
    </w:p>
    <w:p>
      <w:pPr>
        <w:spacing w:after="40"/>
      </w:pPr>
      <w:r>
        <w:rPr>
          <w:b/>
          <w:bCs/>
          <w:sz w:val="24"/>
          <w:szCs w:val="24"/>
        </w:rPr>
        <w:t xml:space="preserve">Sonam – BA &amp; Architecture Lead</w:t>
      </w:r>
    </w:p>
    <w:p>
      <w:pPr>
        <w:spacing w:after="100"/>
      </w:pPr>
      <w:r>
        <w:rPr>
          <w:i/>
          <w:iCs/>
          <w:color w:val="555555"/>
          <w:sz w:val="20"/>
          <w:szCs w:val="20"/>
        </w:rPr>
        <w:t xml:space="preserve">Healthcare Integration &amp; Clinical Terminology Test Harness — FAZ Australia (MedTalk Connect)</w:t>
      </w:r>
    </w:p>
    <w:p>
      <w:pPr>
        <w:shd w:fill="FFF6E0" w:val="clear"/>
        <w:spacing w:after="200"/>
      </w:pPr>
      <w:r>
        <w:rPr>
          <w:b/>
          <w:bCs/>
          <w:i/>
          <w:iCs/>
          <w:color w:val="8A5A00"/>
          <w:sz w:val="20"/>
          <w:szCs w:val="20"/>
        </w:rPr>
        <w:t xml:space="preserve">Note to team: </w:t>
      </w:r>
      <w:r>
        <w:rPr>
          <w:i/>
          <w:iCs/>
          <w:color w:val="8A5A00"/>
          <w:sz w:val="20"/>
          <w:szCs w:val="20"/>
        </w:rPr>
        <w:t xml:space="preserve">Rough working draft for my feature branch, covering my individual task for each week of Assessment 1. Not the polished team submissions; those go to main after team review.</w:t>
      </w:r>
    </w:p>
    <w:p>
      <w:pPr>
        <w:pStyle w:val="Heading1"/>
        <w:spacing w:after="150" w:before="300"/>
      </w:pPr>
      <w:r>
        <w:rPr>
          <w:color w:val="000000"/>
        </w:rPr>
        <w:t xml:space="preserve">Week 1 — Project Charter, Background Research &amp; Stakeholder Register</w:t>
      </w:r>
    </w:p>
    <w:p>
      <w:pPr>
        <w:spacing w:after="160"/>
      </w:pPr>
      <w:r>
        <w:rPr>
          <w:b w:val="false"/>
          <w:bCs w:val="false"/>
          <w:i w:val="false"/>
          <w:iCs w:val="false"/>
          <w:sz w:val="22"/>
          <w:szCs w:val="22"/>
        </w:rPr>
        <w:t xml:space="preserve">My task: draft the project charter, background research on FAZ Australia/MedTalk, and coordinate the stakeholder register.</w:t>
      </w:r>
    </w:p>
    <w:p>
      <w:pPr>
        <w:pStyle w:val="Heading2"/>
        <w:spacing w:after="120" w:before="250"/>
      </w:pPr>
      <w:r>
        <w:rPr>
          <w:color w:val="000000"/>
        </w:rPr>
        <w:t xml:space="preserve">1.1 Background research — FAZ Australia &amp; MedTalk Connect</w:t>
      </w:r>
    </w:p>
    <w:p>
      <w:pPr>
        <w:spacing w:after="160"/>
      </w:pPr>
      <w:r>
        <w:rPr>
          <w:b w:val="false"/>
          <w:bCs w:val="false"/>
          <w:i w:val="false"/>
          <w:iCs w:val="false"/>
          <w:sz w:val="22"/>
          <w:szCs w:val="22"/>
        </w:rPr>
        <w:t xml:space="preserve">Grounded in the documents Atif emailed the team: the updated project brief (CIHEBR_1), the MedTalk Connect Final Report (MEDTAL_1), the Implementation Guide (MEDTAL_2), the Connector Catalogue (MEDTAL_3), the Deployment Playbook (MEDTAL_4), and the Project Starter Kit (STARTE_1).</w:t>
      </w:r>
    </w:p>
    <w:p>
      <w:pPr>
        <w:shd w:fill="FBEAEA" w:val="clear"/>
        <w:spacing w:after="200"/>
      </w:pPr>
      <w:r>
        <w:rPr>
          <w:b/>
          <w:bCs/>
          <w:i/>
          <w:iCs/>
          <w:color w:val="8A1F1F"/>
          <w:sz w:val="20"/>
          <w:szCs w:val="20"/>
        </w:rPr>
        <w:t xml:space="preserve">Correction vs. earlier draft: </w:t>
      </w:r>
      <w:r>
        <w:rPr>
          <w:i/>
          <w:iCs/>
          <w:color w:val="8A1F1F"/>
          <w:sz w:val="20"/>
          <w:szCs w:val="20"/>
        </w:rPr>
        <w:t xml:space="preserve">An earlier pass at this section used public MedTalk AI marketing pages (ACT Health pilot news, "50,000+ users" claims). Those describe the consumer-facing scribe app, not MedTalk Connect, the interoperability platform this project actually tests. Replaced with the grounded version below.</w:t>
      </w:r>
    </w:p>
    <w:p>
      <w:pPr>
        <w:pStyle w:val="Heading3"/>
        <w:spacing w:after="100" w:before="180"/>
      </w:pPr>
      <w:r>
        <w:rPr>
          <w:color w:val="000000"/>
        </w:rPr>
        <w:t xml:space="preserve">Two products, one platform — the distinction that matters</w:t>
      </w:r>
    </w:p>
    <w:p>
      <w:pPr>
        <w:pStyle w:val="ListParagraph"/>
        <w:numPr>
          <w:ilvl w:val="0"/>
          <w:numId w:val="1"/>
        </w:numPr>
        <w:spacing w:after="80"/>
      </w:pPr>
      <w:r>
        <w:t xml:space="preserve">FAZ Australia's flagship customer-facing product is MedTalk AI: an ambient clinical documentation assistant ("AI medical scribe") that listens to consultations and drafts clinical notes for a doctor to review and approve.</w:t>
      </w:r>
    </w:p>
    <w:p>
      <w:pPr>
        <w:pStyle w:val="ListParagraph"/>
        <w:numPr>
          <w:ilvl w:val="0"/>
          <w:numId w:val="1"/>
        </w:numPr>
        <w:spacing w:after="80"/>
      </w:pPr>
      <w:r>
        <w:t xml:space="preserve">MedTalk AI connects to clinic and hospital software through MedTalk Connect — FAZ Australia's separate, white-label healthcare interoperability platform. MedTalk Connect provides the canonical FHIR API and connector layer; our synthetic test harness validates this layer, not the scribe app itself.</w:t>
      </w:r>
    </w:p>
    <w:p>
      <w:pPr>
        <w:pStyle w:val="ListParagraph"/>
        <w:numPr>
          <w:ilvl w:val="0"/>
          <w:numId w:val="1"/>
        </w:numPr>
        <w:spacing w:after="80"/>
      </w:pPr>
      <w:r>
        <w:t xml:space="preserve">Architecturally, MedTalk AI is MedTalk Connect's "first reference application": it consumes the platform's FHIR API to write an approved note into the record, and contains no Oracle Health, Epic, or Best Practice-specific logic of its own.</w:t>
      </w:r>
    </w:p>
    <w:p>
      <w:pPr>
        <w:pStyle w:val="ListParagraph"/>
        <w:numPr>
          <w:ilvl w:val="0"/>
          <w:numId w:val="1"/>
        </w:numPr>
        <w:spacing w:after="80"/>
      </w:pPr>
      <w:r>
        <w:t xml:space="preserve">MedTalk AI is already procured and in production use at Canberra Health Services (ACT Health) — the platform's real-world proof point, and the source of its only current production connector evidence.</w:t>
      </w:r>
    </w:p>
    <w:p>
      <w:pPr>
        <w:pStyle w:val="Heading3"/>
        <w:spacing w:after="100" w:before="180"/>
      </w:pPr>
      <w:r>
        <w:rPr>
          <w:color w:val="000000"/>
        </w:rPr>
        <w:t xml:space="preserve">Connector maturity — what's actually production-ready</w:t>
      </w:r>
    </w:p>
    <w:p>
      <w:pPr>
        <w:spacing w:after="160"/>
      </w:pPr>
      <w:r>
        <w:rPr>
          <w:b w:val="false"/>
          <w:bCs w:val="false"/>
          <w:i w:val="false"/>
          <w:iCs w:val="false"/>
          <w:sz w:val="22"/>
          <w:szCs w:val="22"/>
        </w:rPr>
        <w:t xml:space="preserve">From the Connector Catalogue (MEDTAL_3), every capability claim is evidence-graded as implemented, sandbox-validated, planned, or pathway-only: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rPr>
          <w:tblHeader/>
        </w:trPr>
        <w:tc>
          <w:tcPr>
            <w:tcW w:type="dxa" w:w="2600"/>
            <w:shd w:fill="000000" w:val="clear"/>
          </w:tcPr>
          <w:p>
            <w:r>
              <w:rPr>
                <w:b/>
                <w:bCs/>
                <w:color w:val="FFFFFF"/>
                <w:sz w:val="19"/>
                <w:szCs w:val="19"/>
              </w:rPr>
              <w:t xml:space="preserve">Connector</w:t>
            </w:r>
          </w:p>
        </w:tc>
        <w:tc>
          <w:tcPr>
            <w:tcW w:type="dxa" w:w="2400"/>
            <w:shd w:fill="000000" w:val="clear"/>
          </w:tcPr>
          <w:p>
            <w:r>
              <w:rPr>
                <w:b/>
                <w:bCs/>
                <w:color w:val="FFFFFF"/>
                <w:sz w:val="19"/>
                <w:szCs w:val="19"/>
              </w:rPr>
              <w:t xml:space="preserve">Maturity</w:t>
            </w:r>
          </w:p>
        </w:tc>
        <w:tc>
          <w:tcPr>
            <w:tcW w:type="dxa" w:w="4350"/>
            <w:shd w:fill="000000" w:val="clear"/>
          </w:tcPr>
          <w:p>
            <w:r>
              <w:rPr>
                <w:b/>
                <w:bCs/>
                <w:color w:val="FFFFFF"/>
                <w:sz w:val="19"/>
                <w:szCs w:val="19"/>
              </w:rPr>
              <w:t xml:space="preserve">Evidence</w:t>
            </w:r>
          </w:p>
        </w:tc>
      </w:tr>
      <w:tr>
        <w:tc>
          <w:tcPr>
            <w:tcW w:type="dxa" w:w="2600"/>
          </w:tcPr>
          <w:p>
            <w:r>
              <w:rPr>
                <w:sz w:val="19"/>
                <w:szCs w:val="19"/>
              </w:rPr>
              <w:t xml:space="preserve">Oracle Health Millennium</w:t>
            </w:r>
          </w:p>
        </w:tc>
        <w:tc>
          <w:tcPr>
            <w:tcW w:type="dxa" w:w="2400"/>
          </w:tcPr>
          <w:p>
            <w:r>
              <w:rPr>
                <w:sz w:val="19"/>
                <w:szCs w:val="19"/>
              </w:rPr>
              <w:t xml:space="preserve">Implemented — production</w:t>
            </w:r>
          </w:p>
        </w:tc>
        <w:tc>
          <w:tcPr>
            <w:tcW w:type="dxa" w:w="4350"/>
          </w:tcPr>
          <w:p>
            <w:r>
              <w:rPr>
                <w:sz w:val="19"/>
                <w:szCs w:val="19"/>
              </w:rPr>
              <w:t xml:space="preserve">Production integration via the MedTalk AI reference application at Canberra Health Services</w:t>
            </w:r>
          </w:p>
        </w:tc>
      </w:tr>
      <w:tr>
        <w:tc>
          <w:tcPr>
            <w:tcW w:type="dxa" w:w="2600"/>
          </w:tcPr>
          <w:p>
            <w:r>
              <w:rPr>
                <w:sz w:val="19"/>
                <w:szCs w:val="19"/>
              </w:rPr>
              <w:t xml:space="preserve">Best Practice (via Halo Connect)</w:t>
            </w:r>
          </w:p>
        </w:tc>
        <w:tc>
          <w:tcPr>
            <w:tcW w:type="dxa" w:w="2400"/>
          </w:tcPr>
          <w:p>
            <w:r>
              <w:rPr>
                <w:sz w:val="19"/>
                <w:szCs w:val="19"/>
              </w:rPr>
              <w:t xml:space="preserve">Implemented — production</w:t>
            </w:r>
          </w:p>
        </w:tc>
        <w:tc>
          <w:tcPr>
            <w:tcW w:type="dxa" w:w="4350"/>
          </w:tcPr>
          <w:p>
            <w:r>
              <w:rPr>
                <w:sz w:val="19"/>
                <w:szCs w:val="19"/>
              </w:rPr>
              <w:t xml:space="preserve">Production integration capability via the MedTalk AI reference application</w:t>
            </w:r>
          </w:p>
        </w:tc>
      </w:tr>
      <w:tr>
        <w:tc>
          <w:tcPr>
            <w:tcW w:type="dxa" w:w="2600"/>
          </w:tcPr>
          <w:p>
            <w:r>
              <w:rPr>
                <w:sz w:val="19"/>
                <w:szCs w:val="19"/>
              </w:rPr>
              <w:t xml:space="preserve">Epic</w:t>
            </w:r>
          </w:p>
        </w:tc>
        <w:tc>
          <w:tcPr>
            <w:tcW w:type="dxa" w:w="2400"/>
          </w:tcPr>
          <w:p>
            <w:r>
              <w:rPr>
                <w:sz w:val="19"/>
                <w:szCs w:val="19"/>
              </w:rPr>
              <w:t xml:space="preserve">Sandbox-validated only</w:t>
            </w:r>
          </w:p>
        </w:tc>
        <w:tc>
          <w:tcPr>
            <w:tcW w:type="dxa" w:w="4350"/>
          </w:tcPr>
          <w:p>
            <w:r>
              <w:rPr>
                <w:sz w:val="19"/>
                <w:szCs w:val="19"/>
              </w:rPr>
              <w:t xml:space="preserve">Validated against Epic on FHIR's non-production sandbox; production needs customer-specific config and Epic's own enablement process</w:t>
            </w:r>
          </w:p>
        </w:tc>
      </w:tr>
      <w:tr>
        <w:tc>
          <w:tcPr>
            <w:tcW w:type="dxa" w:w="2600"/>
          </w:tcPr>
          <w:p>
            <w:r>
              <w:rPr>
                <w:sz w:val="19"/>
                <w:szCs w:val="19"/>
              </w:rPr>
              <w:t xml:space="preserve">MedicalDirector</w:t>
            </w:r>
          </w:p>
        </w:tc>
        <w:tc>
          <w:tcPr>
            <w:tcW w:type="dxa" w:w="2400"/>
          </w:tcPr>
          <w:p>
            <w:r>
              <w:rPr>
                <w:sz w:val="19"/>
                <w:szCs w:val="19"/>
              </w:rPr>
              <w:t xml:space="preserve">Planned</w:t>
            </w:r>
          </w:p>
        </w:tc>
        <w:tc>
          <w:tcPr>
            <w:tcW w:type="dxa" w:w="4350"/>
          </w:tcPr>
          <w:p>
            <w:r>
              <w:rPr>
                <w:sz w:val="19"/>
                <w:szCs w:val="19"/>
              </w:rPr>
              <w:t xml:space="preserve">Scoped as the natural complement to Best Practice; not yet built</w:t>
            </w:r>
          </w:p>
        </w:tc>
      </w:tr>
      <w:tr>
        <w:tc>
          <w:tcPr>
            <w:tcW w:type="dxa" w:w="2600"/>
          </w:tcPr>
          <w:p>
            <w:r>
              <w:rPr>
                <w:sz w:val="19"/>
                <w:szCs w:val="19"/>
              </w:rPr>
              <w:t xml:space="preserve">My Health Record</w:t>
            </w:r>
          </w:p>
        </w:tc>
        <w:tc>
          <w:tcPr>
            <w:tcW w:type="dxa" w:w="2400"/>
          </w:tcPr>
          <w:p>
            <w:r>
              <w:rPr>
                <w:sz w:val="19"/>
                <w:szCs w:val="19"/>
              </w:rPr>
              <w:t xml:space="preserve">Pathway only</w:t>
            </w:r>
          </w:p>
        </w:tc>
        <w:tc>
          <w:tcPr>
            <w:tcW w:type="dxa" w:w="4350"/>
          </w:tcPr>
          <w:p>
            <w:r>
              <w:rPr>
                <w:sz w:val="19"/>
                <w:szCs w:val="19"/>
              </w:rPr>
              <w:t xml:space="preserve">Documented, architecturally compatible FHIR Gateway pathway; no live connection</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Oracle Health Millennium and Best Practice (via Halo Connect) are the concrete, production-proven integration targets and should get the most detailed synthetic scenarios. Epic is real but earlier-stage. MedicalDirector and My Health Record stay out of Stage 1 scope unless the mentor says otherwise.</w:t>
      </w:r>
    </w:p>
    <w:p>
      <w:pPr>
        <w:pStyle w:val="Heading3"/>
        <w:spacing w:after="100" w:before="180"/>
      </w:pPr>
      <w:r>
        <w:rPr>
          <w:color w:val="000000"/>
        </w:rPr>
        <w:t xml:space="preserve">Key terminology (Starter Kit glossary)</w:t>
      </w:r>
    </w:p>
    <w:p>
      <w:pPr>
        <w:pStyle w:val="ListParagraph"/>
        <w:numPr>
          <w:ilvl w:val="0"/>
          <w:numId w:val="1"/>
        </w:numPr>
        <w:spacing w:after="80"/>
      </w:pPr>
      <w:r>
        <w:t xml:space="preserve">FHIR (R4) — the standard data format for exchanging clinical information; R4 is the version in current use.</w:t>
      </w:r>
    </w:p>
    <w:p>
      <w:pPr>
        <w:pStyle w:val="ListParagraph"/>
        <w:numPr>
          <w:ilvl w:val="0"/>
          <w:numId w:val="1"/>
        </w:numPr>
        <w:spacing w:after="80"/>
      </w:pPr>
      <w:r>
        <w:t xml:space="preserve">SNOMED CT-AU — the Australian edition of SNOMED CT, used to code diagnoses, procedures and symptoms.</w:t>
      </w:r>
    </w:p>
    <w:p>
      <w:pPr>
        <w:pStyle w:val="ListParagraph"/>
        <w:numPr>
          <w:ilvl w:val="0"/>
          <w:numId w:val="1"/>
        </w:numPr>
        <w:spacing w:after="80"/>
      </w:pPr>
      <w:r>
        <w:t xml:space="preserve">ICD-10-AM — the Australian coding system for hospital admissions/reporting.</w:t>
      </w:r>
    </w:p>
    <w:p>
      <w:pPr>
        <w:pStyle w:val="ListParagraph"/>
        <w:numPr>
          <w:ilvl w:val="0"/>
          <w:numId w:val="1"/>
        </w:numPr>
        <w:spacing w:after="80"/>
      </w:pPr>
      <w:r>
        <w:t xml:space="preserve">MBS — Medicare Benefits Schedule item numbers used to bill Medicare.</w:t>
      </w:r>
    </w:p>
    <w:p>
      <w:pPr>
        <w:pStyle w:val="ListParagraph"/>
        <w:numPr>
          <w:ilvl w:val="0"/>
          <w:numId w:val="1"/>
        </w:numPr>
        <w:spacing w:after="80"/>
      </w:pPr>
      <w:r>
        <w:t xml:space="preserve">Halo Connect — Best Practice's real, existing interoperability tool for third-party FHIR access.</w:t>
      </w:r>
    </w:p>
    <w:p>
      <w:pPr>
        <w:pStyle w:val="ListParagraph"/>
        <w:numPr>
          <w:ilvl w:val="0"/>
          <w:numId w:val="1"/>
        </w:numPr>
        <w:spacing w:after="80"/>
      </w:pPr>
      <w:r>
        <w:t xml:space="preserve">Synthetic data — realistic but entirely fake data, safe to use, share and break without privacy risk.</w:t>
      </w:r>
    </w:p>
    <w:p>
      <w:pPr>
        <w:pStyle w:val="Heading2"/>
        <w:spacing w:after="120" w:before="250"/>
      </w:pPr>
      <w:r>
        <w:rPr>
          <w:color w:val="000000"/>
        </w:rPr>
        <w:t xml:space="preserve">1.2 Project charter (draft)</w:t>
      </w:r>
    </w:p>
    <w:p>
      <w:pPr>
        <w:pStyle w:val="Heading2"/>
        <w:spacing w:after="120" w:before="250"/>
      </w:pPr>
      <w:r>
        <w:rPr>
          <w:color w:val="000000"/>
        </w:rPr>
        <w:t xml:space="preserve">Project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E8E8E8" w:val="clear"/>
          </w:tcPr>
          <w:p>
            <w:r>
              <w:rPr>
                <w:b/>
                <w:bCs/>
                <w:sz w:val="20"/>
                <w:szCs w:val="20"/>
              </w:rPr>
              <w:t xml:space="preserve">Project title</w:t>
            </w:r>
          </w:p>
        </w:tc>
        <w:tc>
          <w:tcPr>
            <w:tcW w:type="dxa" w:w="6350"/>
          </w:tcPr>
          <w:p>
            <w:r>
              <w:rPr>
                <w:sz w:val="20"/>
                <w:szCs w:val="20"/>
              </w:rPr>
              <w:t xml:space="preserve">Healthcare Integration &amp; Clinical Terminology Test Harness</w:t>
            </w:r>
          </w:p>
        </w:tc>
      </w:tr>
      <w:tr>
        <w:tc>
          <w:tcPr>
            <w:tcW w:type="dxa" w:w="3000"/>
            <w:shd w:fill="E8E8E8" w:val="clear"/>
          </w:tcPr>
          <w:p>
            <w:r>
              <w:rPr>
                <w:b/>
                <w:bCs/>
                <w:sz w:val="20"/>
                <w:szCs w:val="20"/>
              </w:rPr>
              <w:t xml:space="preserve">Industry partner</w:t>
            </w:r>
          </w:p>
        </w:tc>
        <w:tc>
          <w:tcPr>
            <w:tcW w:type="dxa" w:w="6350"/>
          </w:tcPr>
          <w:p>
            <w:r>
              <w:rPr>
                <w:sz w:val="20"/>
                <w:szCs w:val="20"/>
              </w:rPr>
              <w:t xml:space="preserve">FAZ Australia (MedTalk Connect)</w:t>
            </w:r>
          </w:p>
        </w:tc>
      </w:tr>
      <w:tr>
        <w:tc>
          <w:tcPr>
            <w:tcW w:type="dxa" w:w="3000"/>
            <w:shd w:fill="E8E8E8" w:val="clear"/>
          </w:tcPr>
          <w:p>
            <w:r>
              <w:rPr>
                <w:b/>
                <w:bCs/>
                <w:sz w:val="20"/>
                <w:szCs w:val="20"/>
              </w:rPr>
              <w:t xml:space="preserve">Team members</w:t>
            </w:r>
          </w:p>
        </w:tc>
        <w:tc>
          <w:tcPr>
            <w:tcW w:type="dxa" w:w="6350"/>
          </w:tcPr>
          <w:p>
            <w:r>
              <w:rPr>
                <w:sz w:val="20"/>
                <w:szCs w:val="20"/>
              </w:rPr>
              <w:t xml:space="preserve">Sonam Pelden, Charity Gwese, Rikesh Aryal, Zubair Adil Soomro</w:t>
            </w:r>
          </w:p>
        </w:tc>
      </w:tr>
      <w:tr>
        <w:tc>
          <w:tcPr>
            <w:tcW w:type="dxa" w:w="3000"/>
            <w:shd w:fill="E8E8E8" w:val="clear"/>
          </w:tcPr>
          <w:p>
            <w:r>
              <w:rPr>
                <w:b/>
                <w:bCs/>
                <w:sz w:val="20"/>
                <w:szCs w:val="20"/>
              </w:rPr>
              <w:t xml:space="preserve">Project supervisor</w:t>
            </w:r>
          </w:p>
        </w:tc>
        <w:tc>
          <w:tcPr>
            <w:tcW w:type="dxa" w:w="6350"/>
          </w:tcPr>
          <w:p>
            <w:r>
              <w:rPr>
                <w:sz w:val="20"/>
                <w:szCs w:val="20"/>
              </w:rPr>
              <w:t xml:space="preserve">Md Ashraf Uddin</w:t>
            </w:r>
          </w:p>
        </w:tc>
      </w:tr>
      <w:tr>
        <w:tc>
          <w:tcPr>
            <w:tcW w:type="dxa" w:w="3000"/>
            <w:shd w:fill="E8E8E8" w:val="clear"/>
          </w:tcPr>
          <w:p>
            <w:r>
              <w:rPr>
                <w:b/>
                <w:bCs/>
                <w:sz w:val="20"/>
                <w:szCs w:val="20"/>
              </w:rPr>
              <w:t xml:space="preserve">Industry mentor</w:t>
            </w:r>
          </w:p>
        </w:tc>
        <w:tc>
          <w:tcPr>
            <w:tcW w:type="dxa" w:w="6350"/>
          </w:tcPr>
          <w:p>
            <w:r>
              <w:rPr>
                <w:sz w:val="20"/>
                <w:szCs w:val="20"/>
              </w:rPr>
              <w:t xml:space="preserve">Atif Nisar — Co-Founder, MedTalk.co / CTO, FAZ Australia</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Background</w:t>
      </w:r>
    </w:p>
    <w:p>
      <w:pPr>
        <w:spacing w:after="160"/>
      </w:pPr>
      <w:r>
        <w:rPr>
          <w:b w:val="false"/>
          <w:bCs w:val="false"/>
          <w:i w:val="false"/>
          <w:iCs w:val="false"/>
          <w:sz w:val="22"/>
          <w:szCs w:val="22"/>
        </w:rPr>
        <w:t xml:space="preserve">FAZ Australia is a Canberra-based health-technology company. Its flagship customer product, MedTalk AI, is an ambient clinical documentation platform that listens to doctor-patient consultations and automatically drafts structured clinical notes. MedTalk AI connects to the clinical software practices already run — including Best Practice (via its Halo Connect integration tool) and hospital systems such as Oracle Health Millennium — through MedTalk Connect, FAZ Australia's white-label healthcare interoperability platform, which provides the canonical FHIR API and connector layer. As MedTalk Connect's customer base grows, FAZ Australia needs a safe way to test these connector integrations without risking real patient data. This project addresses that gap by designing and building a synthetic integration test harness.</w:t>
      </w:r>
    </w:p>
    <w:p>
      <w:pPr>
        <w:pStyle w:val="Heading2"/>
        <w:spacing w:after="120" w:before="250"/>
      </w:pPr>
      <w:r>
        <w:rPr>
          <w:color w:val="000000"/>
        </w:rPr>
        <w:t xml:space="preserve">Objectives (SMART)</w:t>
      </w:r>
    </w:p>
    <w:p>
      <w:pPr>
        <w:pStyle w:val="ListParagraph"/>
        <w:numPr>
          <w:ilvl w:val="0"/>
          <w:numId w:val="1"/>
        </w:numPr>
        <w:spacing w:after="80"/>
      </w:pPr>
      <w:r>
        <w:t xml:space="preserve">Identify and document all data exchange points between MedTalk Connect and its connectors — Best Practice via Halo Connect and Oracle Health Millennium — using the FHIR standard, by the end of Week 6.</w:t>
      </w:r>
    </w:p>
    <w:p>
      <w:pPr>
        <w:pStyle w:val="ListParagraph"/>
        <w:numPr>
          <w:ilvl w:val="0"/>
          <w:numId w:val="1"/>
        </w:numPr>
        <w:spacing w:after="80"/>
      </w:pPr>
      <w:r>
        <w:t xml:space="preserve">Design a set of synthetic patient records coded in SNOMED CT-AU, with documented mappings to ICD-10-AM and MBS billing codes covering at least 15 clinical scenarios, by Week 10.</w:t>
      </w:r>
    </w:p>
    <w:p>
      <w:pPr>
        <w:pStyle w:val="ListParagraph"/>
        <w:numPr>
          <w:ilvl w:val="0"/>
          <w:numId w:val="1"/>
        </w:numPr>
        <w:spacing w:after="80"/>
      </w:pPr>
      <w:r>
        <w:t xml:space="preserve">Produce a written test plan specifying at least five failure conditions and expected system behaviour for each, by Week 12.</w:t>
      </w:r>
    </w:p>
    <w:p>
      <w:pPr>
        <w:pStyle w:val="ListParagraph"/>
        <w:numPr>
          <w:ilvl w:val="0"/>
          <w:numId w:val="1"/>
        </w:numPr>
        <w:spacing w:after="80"/>
      </w:pPr>
      <w:r>
        <w:t xml:space="preserve">Build and execute an automated test suite validating MedTalk Connect's connector behaviour against the synthetic environment, producing a pass/fail report, by the end of Semester 2.</w:t>
      </w:r>
    </w:p>
    <w:p>
      <w:pPr>
        <w:pStyle w:val="ListParagraph"/>
        <w:numPr>
          <w:ilvl w:val="0"/>
          <w:numId w:val="1"/>
        </w:numPr>
        <w:spacing w:after="80"/>
      </w:pPr>
      <w:r>
        <w:t xml:space="preserve">Present the completed synthetic test environment, test results and documentation to FAZ Australia through a final demonstration and report by the end of Semester 2.</w:t>
      </w:r>
    </w:p>
    <w:p>
      <w:pPr>
        <w:pStyle w:val="Heading2"/>
        <w:spacing w:after="120" w:before="250"/>
      </w:pPr>
      <w:r>
        <w:rPr>
          <w:color w:val="000000"/>
        </w:rPr>
        <w:t xml:space="preserve">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00000" w:val="clear"/>
          </w:tcPr>
          <w:p>
            <w:r>
              <w:rPr>
                <w:b/>
                <w:bCs/>
                <w:color w:val="FFFFFF"/>
                <w:sz w:val="19"/>
                <w:szCs w:val="19"/>
              </w:rPr>
              <w:t xml:space="preserve">In scope</w:t>
            </w:r>
          </w:p>
        </w:tc>
        <w:tc>
          <w:tcPr>
            <w:tcW w:type="dxa" w:w="4675"/>
            <w:shd w:fill="000000" w:val="clear"/>
          </w:tcPr>
          <w:p>
            <w:r>
              <w:rPr>
                <w:b/>
                <w:bCs/>
                <w:color w:val="FFFFFF"/>
                <w:sz w:val="19"/>
                <w:szCs w:val="19"/>
              </w:rPr>
              <w:t xml:space="preserve">Out of scope</w:t>
            </w:r>
          </w:p>
        </w:tc>
      </w:tr>
      <w:tr>
        <w:tc>
          <w:tcPr>
            <w:tcW w:type="dxa" w:w="4675"/>
          </w:tcPr>
          <w:p>
            <w:pPr>
              <w:pStyle w:val="ListParagraph"/>
              <w:numPr>
                <w:ilvl w:val="0"/>
                <w:numId w:val="1"/>
              </w:numPr>
            </w:pPr>
            <w:r>
              <w:t xml:space="preserve">Design and development of a synthetic (non-real) patient dataset and test environment</w:t>
            </w:r>
          </w:p>
          <w:p>
            <w:pPr>
              <w:pStyle w:val="ListParagraph"/>
              <w:numPr>
                <w:ilvl w:val="0"/>
                <w:numId w:val="1"/>
              </w:numPr>
            </w:pPr>
            <w:r>
              <w:t xml:space="preserve">Mapping and testing of MedTalk Connect's FHIR-based interface to Best Practice (via Halo Connect) and Oracle Health Millennium</w:t>
            </w:r>
          </w:p>
          <w:p>
            <w:pPr>
              <w:pStyle w:val="ListParagraph"/>
              <w:numPr>
                <w:ilvl w:val="0"/>
                <w:numId w:val="1"/>
              </w:numPr>
            </w:pPr>
            <w:r>
              <w:t xml:space="preserve">Translation testing between SNOMED CT-AU, ICD-10-AM and MBS billing codes, including edge cases</w:t>
            </w:r>
          </w:p>
        </w:tc>
        <w:tc>
          <w:tcPr>
            <w:tcW w:type="dxa" w:w="4675"/>
          </w:tcPr>
          <w:p>
            <w:pPr>
              <w:pStyle w:val="ListParagraph"/>
              <w:numPr>
                <w:ilvl w:val="0"/>
                <w:numId w:val="1"/>
              </w:numPr>
            </w:pPr>
            <w:r>
              <w:t xml:space="preserve">Use, storage or processing of any real patient data</w:t>
            </w:r>
          </w:p>
          <w:p>
            <w:pPr>
              <w:pStyle w:val="ListParagraph"/>
              <w:numPr>
                <w:ilvl w:val="0"/>
                <w:numId w:val="1"/>
              </w:numPr>
            </w:pPr>
            <w:r>
              <w:t xml:space="preserve">Direct integration with live production hospital or clinic systems</w:t>
            </w:r>
          </w:p>
          <w:p>
            <w:pPr>
              <w:pStyle w:val="ListParagraph"/>
              <w:numPr>
                <w:ilvl w:val="0"/>
                <w:numId w:val="1"/>
              </w:numPr>
            </w:pPr>
            <w:r>
              <w:t xml:space="preserve">Building or modifying the MedTalk AI scribe application itself</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Deliverables, Weeks 1–5</w:t>
      </w:r>
    </w:p>
    <w:p>
      <w:pPr>
        <w:pStyle w:val="ListParagraph"/>
        <w:numPr>
          <w:ilvl w:val="0"/>
          <w:numId w:val="1"/>
        </w:numPr>
        <w:spacing w:after="80"/>
      </w:pPr>
      <w:r>
        <w:t xml:space="preserve">Week 1: Project charter &amp; stakeholder analysis</w:t>
      </w:r>
    </w:p>
    <w:p>
      <w:pPr>
        <w:pStyle w:val="ListParagraph"/>
        <w:numPr>
          <w:ilvl w:val="0"/>
          <w:numId w:val="1"/>
        </w:numPr>
        <w:spacing w:after="80"/>
      </w:pPr>
      <w:r>
        <w:t xml:space="preserve">Week 2: Business &amp; problem analysis report</w:t>
      </w:r>
    </w:p>
    <w:p>
      <w:pPr>
        <w:pStyle w:val="ListParagraph"/>
        <w:numPr>
          <w:ilvl w:val="0"/>
          <w:numId w:val="1"/>
        </w:numPr>
        <w:spacing w:after="80"/>
      </w:pPr>
      <w:r>
        <w:t xml:space="preserve">Week 3: Requirements elicitation report</w:t>
      </w:r>
    </w:p>
    <w:p>
      <w:pPr>
        <w:pStyle w:val="ListParagraph"/>
        <w:numPr>
          <w:ilvl w:val="0"/>
          <w:numId w:val="1"/>
        </w:numPr>
        <w:spacing w:after="80"/>
      </w:pPr>
      <w:r>
        <w:t xml:space="preserve">Week 4: Software Requirements Specification (SRS)</w:t>
      </w:r>
    </w:p>
    <w:p>
      <w:pPr>
        <w:pStyle w:val="ListParagraph"/>
        <w:numPr>
          <w:ilvl w:val="0"/>
          <w:numId w:val="1"/>
        </w:numPr>
        <w:spacing w:after="80"/>
      </w:pPr>
      <w:r>
        <w:t xml:space="preserve">Week 5: Feasibility &amp; risk analysis and full portfolio (Assessment 1 due)</w:t>
      </w:r>
    </w:p>
    <w:p>
      <w:pPr>
        <w:pStyle w:val="Heading2"/>
        <w:spacing w:after="120" w:before="250"/>
      </w:pPr>
      <w:r>
        <w:rPr>
          <w:color w:val="000000"/>
        </w:rPr>
        <w:t xml:space="preserve">Success criteria</w:t>
      </w:r>
    </w:p>
    <w:p>
      <w:pPr>
        <w:pStyle w:val="ListParagraph"/>
        <w:numPr>
          <w:ilvl w:val="0"/>
          <w:numId w:val="1"/>
        </w:numPr>
        <w:spacing w:after="80"/>
      </w:pPr>
      <w:r>
        <w:t xml:space="preserve">The test environment operates entirely on synthetic data, with zero use of real patient records.</w:t>
      </w:r>
    </w:p>
    <w:p>
      <w:pPr>
        <w:pStyle w:val="ListParagraph"/>
        <w:numPr>
          <w:ilvl w:val="0"/>
          <w:numId w:val="1"/>
        </w:numPr>
        <w:spacing w:after="80"/>
      </w:pPr>
      <w:r>
        <w:t xml:space="preserve">The FHIR-based interface mapping is validated against MedTalk Connect's own architecture documentation (MEDTAL_1–4) and reviewed by the industry mentor.</w:t>
      </w:r>
    </w:p>
    <w:p>
      <w:pPr>
        <w:pStyle w:val="ListParagraph"/>
        <w:numPr>
          <w:ilvl w:val="0"/>
          <w:numId w:val="1"/>
        </w:numPr>
        <w:spacing w:after="80"/>
      </w:pPr>
      <w:r>
        <w:t xml:space="preserve">The automated test suite achieves documented coverage of all agreed failure-mode scenarios, with a clear pass/fail report generated at final demonstration.</w:t>
      </w:r>
    </w:p>
    <w:p>
      <w:pPr>
        <w:pStyle w:val="Heading2"/>
        <w:spacing w:after="120" w:before="250"/>
      </w:pPr>
      <w:r>
        <w:rPr>
          <w:color w:val="000000"/>
        </w:rPr>
        <w:t xml:space="preserve">1.3 Stakeholder register — coordination draft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400"/>
        <w:gridCol w:w="1000"/>
        <w:gridCol w:w="1000"/>
        <w:gridCol w:w="1650"/>
      </w:tblGrid>
      <w:tr>
        <w:trPr>
          <w:tblHeader/>
        </w:trPr>
        <w:tc>
          <w:tcPr>
            <w:tcW w:type="dxa" w:w="1700"/>
            <w:shd w:fill="000000" w:val="clear"/>
          </w:tcPr>
          <w:p>
            <w:r>
              <w:rPr>
                <w:b/>
                <w:bCs/>
                <w:color w:val="FFFFFF"/>
                <w:sz w:val="19"/>
                <w:szCs w:val="19"/>
              </w:rPr>
              <w:t xml:space="preserve">Stakeholder</w:t>
            </w:r>
          </w:p>
        </w:tc>
        <w:tc>
          <w:tcPr>
            <w:tcW w:type="dxa" w:w="1600"/>
            <w:shd w:fill="000000" w:val="clear"/>
          </w:tcPr>
          <w:p>
            <w:r>
              <w:rPr>
                <w:b/>
                <w:bCs/>
                <w:color w:val="FFFFFF"/>
                <w:sz w:val="19"/>
                <w:szCs w:val="19"/>
              </w:rPr>
              <w:t xml:space="preserve">Role</w:t>
            </w:r>
          </w:p>
        </w:tc>
        <w:tc>
          <w:tcPr>
            <w:tcW w:type="dxa" w:w="2400"/>
            <w:shd w:fill="000000" w:val="clear"/>
          </w:tcPr>
          <w:p>
            <w:r>
              <w:rPr>
                <w:b/>
                <w:bCs/>
                <w:color w:val="FFFFFF"/>
                <w:sz w:val="19"/>
                <w:szCs w:val="19"/>
              </w:rPr>
              <w:t xml:space="preserve">Needs</w:t>
            </w:r>
          </w:p>
        </w:tc>
        <w:tc>
          <w:tcPr>
            <w:tcW w:type="dxa" w:w="1000"/>
            <w:shd w:fill="000000" w:val="clear"/>
          </w:tcPr>
          <w:p>
            <w:r>
              <w:rPr>
                <w:b/>
                <w:bCs/>
                <w:color w:val="FFFFFF"/>
                <w:sz w:val="19"/>
                <w:szCs w:val="19"/>
              </w:rPr>
              <w:t xml:space="preserve">Interest</w:t>
            </w:r>
          </w:p>
        </w:tc>
        <w:tc>
          <w:tcPr>
            <w:tcW w:type="dxa" w:w="1000"/>
            <w:shd w:fill="000000" w:val="clear"/>
          </w:tcPr>
          <w:p>
            <w:r>
              <w:rPr>
                <w:b/>
                <w:bCs/>
                <w:color w:val="FFFFFF"/>
                <w:sz w:val="19"/>
                <w:szCs w:val="19"/>
              </w:rPr>
              <w:t xml:space="preserve">Influence</w:t>
            </w:r>
          </w:p>
        </w:tc>
        <w:tc>
          <w:tcPr>
            <w:tcW w:type="dxa" w:w="1650"/>
            <w:shd w:fill="000000" w:val="clear"/>
          </w:tcPr>
          <w:p>
            <w:r>
              <w:rPr>
                <w:b/>
                <w:bCs/>
                <w:color w:val="FFFFFF"/>
                <w:sz w:val="19"/>
                <w:szCs w:val="19"/>
              </w:rPr>
              <w:t xml:space="preserve">Comms / evidence</w:t>
            </w:r>
          </w:p>
        </w:tc>
      </w:tr>
      <w:tr>
        <w:tc>
          <w:tcPr>
            <w:tcW w:type="dxa" w:w="1700"/>
          </w:tcPr>
          <w:p>
            <w:r>
              <w:rPr>
                <w:sz w:val="19"/>
                <w:szCs w:val="19"/>
              </w:rPr>
              <w:t xml:space="preserve">Atif Nisar</w:t>
            </w:r>
          </w:p>
        </w:tc>
        <w:tc>
          <w:tcPr>
            <w:tcW w:type="dxa" w:w="1600"/>
          </w:tcPr>
          <w:p>
            <w:r>
              <w:rPr>
                <w:sz w:val="19"/>
                <w:szCs w:val="19"/>
              </w:rPr>
              <w:t xml:space="preserve">Industry Supervisor / CTO, FAZ Australia</w:t>
            </w:r>
          </w:p>
        </w:tc>
        <w:tc>
          <w:tcPr>
            <w:tcW w:type="dxa" w:w="2400"/>
          </w:tcPr>
          <w:p>
            <w:r>
              <w:rPr>
                <w:sz w:val="19"/>
                <w:szCs w:val="19"/>
              </w:rPr>
              <w:t xml:space="preserve">Reliable, well-documented integration testing that reduces compliance risk</w:t>
            </w:r>
          </w:p>
        </w:tc>
        <w:tc>
          <w:tcPr>
            <w:tcW w:type="dxa" w:w="1000"/>
          </w:tcPr>
          <w:p>
            <w:r>
              <w:rPr>
                <w:sz w:val="19"/>
                <w:szCs w:val="19"/>
              </w:rPr>
              <w:t xml:space="preserve">High</w:t>
            </w:r>
          </w:p>
        </w:tc>
        <w:tc>
          <w:tcPr>
            <w:tcW w:type="dxa" w:w="1000"/>
          </w:tcPr>
          <w:p>
            <w:r>
              <w:rPr>
                <w:sz w:val="19"/>
                <w:szCs w:val="19"/>
              </w:rPr>
              <w:t xml:space="preserve">High</w:t>
            </w:r>
          </w:p>
        </w:tc>
        <w:tc>
          <w:tcPr>
            <w:tcW w:type="dxa" w:w="1650"/>
          </w:tcPr>
          <w:p>
            <w:r>
              <w:rPr>
                <w:sz w:val="19"/>
                <w:szCs w:val="19"/>
              </w:rPr>
              <w:t xml:space="preserve">Weekly video call</w:t>
            </w:r>
          </w:p>
        </w:tc>
      </w:tr>
      <w:tr>
        <w:tc>
          <w:tcPr>
            <w:tcW w:type="dxa" w:w="1700"/>
          </w:tcPr>
          <w:p>
            <w:r>
              <w:rPr>
                <w:sz w:val="19"/>
                <w:szCs w:val="19"/>
              </w:rPr>
              <w:t xml:space="preserve">MedTalk Connect Engineering Team</w:t>
            </w:r>
          </w:p>
        </w:tc>
        <w:tc>
          <w:tcPr>
            <w:tcW w:type="dxa" w:w="1600"/>
          </w:tcPr>
          <w:p>
            <w:r>
              <w:rPr>
                <w:sz w:val="19"/>
                <w:szCs w:val="19"/>
              </w:rPr>
              <w:t xml:space="preserve">Technical stakeholder</w:t>
            </w:r>
          </w:p>
        </w:tc>
        <w:tc>
          <w:tcPr>
            <w:tcW w:type="dxa" w:w="2400"/>
          </w:tcPr>
          <w:p>
            <w:r>
              <w:rPr>
                <w:sz w:val="19"/>
                <w:szCs w:val="19"/>
              </w:rPr>
              <w:t xml:space="preserve">Clear test coverage and a usable, documented test harness</w:t>
            </w:r>
          </w:p>
        </w:tc>
        <w:tc>
          <w:tcPr>
            <w:tcW w:type="dxa" w:w="1000"/>
          </w:tcPr>
          <w:p>
            <w:r>
              <w:rPr>
                <w:sz w:val="19"/>
                <w:szCs w:val="19"/>
              </w:rPr>
              <w:t xml:space="preserve">High</w:t>
            </w:r>
          </w:p>
        </w:tc>
        <w:tc>
          <w:tcPr>
            <w:tcW w:type="dxa" w:w="1000"/>
          </w:tcPr>
          <w:p>
            <w:r>
              <w:rPr>
                <w:sz w:val="19"/>
                <w:szCs w:val="19"/>
              </w:rPr>
              <w:t xml:space="preserve">Medium</w:t>
            </w:r>
          </w:p>
        </w:tc>
        <w:tc>
          <w:tcPr>
            <w:tcW w:type="dxa" w:w="1650"/>
          </w:tcPr>
          <w:p>
            <w:r>
              <w:rPr>
                <w:sz w:val="19"/>
                <w:szCs w:val="19"/>
              </w:rPr>
              <w:t xml:space="preserve">Async via email/Slack</w:t>
            </w:r>
          </w:p>
        </w:tc>
      </w:tr>
      <w:tr>
        <w:tc>
          <w:tcPr>
            <w:tcW w:type="dxa" w:w="1700"/>
          </w:tcPr>
          <w:p>
            <w:r>
              <w:rPr>
                <w:sz w:val="19"/>
                <w:szCs w:val="19"/>
              </w:rPr>
              <w:t xml:space="preserve">CIHE Academic Supervisor (Md Ashraf Uddin)</w:t>
            </w:r>
          </w:p>
        </w:tc>
        <w:tc>
          <w:tcPr>
            <w:tcW w:type="dxa" w:w="1600"/>
          </w:tcPr>
          <w:p>
            <w:r>
              <w:rPr>
                <w:sz w:val="19"/>
                <w:szCs w:val="19"/>
              </w:rPr>
              <w:t xml:space="preserve">Project supervisor / assessor</w:t>
            </w:r>
          </w:p>
        </w:tc>
        <w:tc>
          <w:tcPr>
            <w:tcW w:type="dxa" w:w="2400"/>
          </w:tcPr>
          <w:p>
            <w:r>
              <w:rPr>
                <w:sz w:val="19"/>
                <w:szCs w:val="19"/>
              </w:rPr>
              <w:t xml:space="preserve">Project meets rubric requirements and academic standards</w:t>
            </w:r>
          </w:p>
        </w:tc>
        <w:tc>
          <w:tcPr>
            <w:tcW w:type="dxa" w:w="1000"/>
          </w:tcPr>
          <w:p>
            <w:r>
              <w:rPr>
                <w:sz w:val="19"/>
                <w:szCs w:val="19"/>
              </w:rPr>
              <w:t xml:space="preserve">Medium</w:t>
            </w:r>
          </w:p>
        </w:tc>
        <w:tc>
          <w:tcPr>
            <w:tcW w:type="dxa" w:w="1000"/>
          </w:tcPr>
          <w:p>
            <w:r>
              <w:rPr>
                <w:sz w:val="19"/>
                <w:szCs w:val="19"/>
              </w:rPr>
              <w:t xml:space="preserve">High</w:t>
            </w:r>
          </w:p>
        </w:tc>
        <w:tc>
          <w:tcPr>
            <w:tcW w:type="dxa" w:w="1650"/>
          </w:tcPr>
          <w:p>
            <w:r>
              <w:rPr>
                <w:sz w:val="19"/>
                <w:szCs w:val="19"/>
              </w:rPr>
              <w:t xml:space="preserve">Weekly Teams check-in</w:t>
            </w:r>
          </w:p>
        </w:tc>
      </w:tr>
      <w:tr>
        <w:tc>
          <w:tcPr>
            <w:tcW w:type="dxa" w:w="1700"/>
          </w:tcPr>
          <w:p>
            <w:r>
              <w:rPr>
                <w:sz w:val="19"/>
                <w:szCs w:val="19"/>
              </w:rPr>
              <w:t xml:space="preserve">Project Team Members</w:t>
            </w:r>
          </w:p>
        </w:tc>
        <w:tc>
          <w:tcPr>
            <w:tcW w:type="dxa" w:w="1600"/>
          </w:tcPr>
          <w:p>
            <w:r>
              <w:rPr>
                <w:sz w:val="19"/>
                <w:szCs w:val="19"/>
              </w:rPr>
              <w:t xml:space="preserve">Delivery team</w:t>
            </w:r>
          </w:p>
        </w:tc>
        <w:tc>
          <w:tcPr>
            <w:tcW w:type="dxa" w:w="2400"/>
          </w:tcPr>
          <w:p>
            <w:r>
              <w:rPr>
                <w:sz w:val="19"/>
                <w:szCs w:val="19"/>
              </w:rPr>
              <w:t xml:space="preserve">Clear task allocation, workable scope, shared understanding</w:t>
            </w:r>
          </w:p>
        </w:tc>
        <w:tc>
          <w:tcPr>
            <w:tcW w:type="dxa" w:w="1000"/>
          </w:tcPr>
          <w:p>
            <w:r>
              <w:rPr>
                <w:sz w:val="19"/>
                <w:szCs w:val="19"/>
              </w:rPr>
              <w:t xml:space="preserve">High</w:t>
            </w:r>
          </w:p>
        </w:tc>
        <w:tc>
          <w:tcPr>
            <w:tcW w:type="dxa" w:w="1000"/>
          </w:tcPr>
          <w:p>
            <w:r>
              <w:rPr>
                <w:sz w:val="19"/>
                <w:szCs w:val="19"/>
              </w:rPr>
              <w:t xml:space="preserve">Medium</w:t>
            </w:r>
          </w:p>
        </w:tc>
        <w:tc>
          <w:tcPr>
            <w:tcW w:type="dxa" w:w="1650"/>
          </w:tcPr>
          <w:p>
            <w:r>
              <w:rPr>
                <w:sz w:val="19"/>
                <w:szCs w:val="19"/>
              </w:rPr>
              <w:t xml:space="preserve">Daily Teams/Discord updates</w:t>
            </w:r>
          </w:p>
        </w:tc>
      </w:tr>
      <w:tr>
        <w:tc>
          <w:tcPr>
            <w:tcW w:type="dxa" w:w="1700"/>
          </w:tcPr>
          <w:p>
            <w:r>
              <w:rPr>
                <w:sz w:val="19"/>
                <w:szCs w:val="19"/>
              </w:rPr>
              <w:t xml:space="preserve">Future MedTalk Connect customers/apps</w:t>
            </w:r>
          </w:p>
        </w:tc>
        <w:tc>
          <w:tcPr>
            <w:tcW w:type="dxa" w:w="1600"/>
          </w:tcPr>
          <w:p>
            <w:r>
              <w:rPr>
                <w:sz w:val="19"/>
                <w:szCs w:val="19"/>
              </w:rPr>
              <w:t xml:space="preserve">Indirect stakeholder</w:t>
            </w:r>
          </w:p>
        </w:tc>
        <w:tc>
          <w:tcPr>
            <w:tcW w:type="dxa" w:w="2400"/>
          </w:tcPr>
          <w:p>
            <w:r>
              <w:rPr>
                <w:sz w:val="19"/>
                <w:szCs w:val="19"/>
              </w:rPr>
              <w:t xml:space="preserve">A stable, well-tested connector layer they can safely build on</w:t>
            </w:r>
          </w:p>
        </w:tc>
        <w:tc>
          <w:tcPr>
            <w:tcW w:type="dxa" w:w="1000"/>
          </w:tcPr>
          <w:p>
            <w:r>
              <w:rPr>
                <w:sz w:val="19"/>
                <w:szCs w:val="19"/>
              </w:rPr>
              <w:t xml:space="preserve">Low</w:t>
            </w:r>
          </w:p>
        </w:tc>
        <w:tc>
          <w:tcPr>
            <w:tcW w:type="dxa" w:w="1000"/>
          </w:tcPr>
          <w:p>
            <w:r>
              <w:rPr>
                <w:sz w:val="19"/>
                <w:szCs w:val="19"/>
              </w:rPr>
              <w:t xml:space="preserve">Low</w:t>
            </w:r>
          </w:p>
        </w:tc>
        <w:tc>
          <w:tcPr>
            <w:tcW w:type="dxa" w:w="1650"/>
          </w:tcPr>
          <w:p>
            <w:r>
              <w:rPr>
                <w:sz w:val="19"/>
                <w:szCs w:val="19"/>
              </w:rPr>
              <w:t xml:space="preserve">Represented via FAZ Australia</w:t>
            </w:r>
          </w:p>
        </w:tc>
      </w:tr>
      <w:tr>
        <w:tc>
          <w:tcPr>
            <w:tcW w:type="dxa" w:w="1700"/>
          </w:tcPr>
          <w:p>
            <w:r>
              <w:rPr>
                <w:sz w:val="19"/>
                <w:szCs w:val="19"/>
              </w:rPr>
              <w:t xml:space="preserve">Best Practice / Oracle Health (system owners)</w:t>
            </w:r>
          </w:p>
        </w:tc>
        <w:tc>
          <w:tcPr>
            <w:tcW w:type="dxa" w:w="1600"/>
          </w:tcPr>
          <w:p>
            <w:r>
              <w:rPr>
                <w:sz w:val="19"/>
                <w:szCs w:val="19"/>
              </w:rPr>
              <w:t xml:space="preserve">External technical stakeholder</w:t>
            </w:r>
          </w:p>
        </w:tc>
        <w:tc>
          <w:tcPr>
            <w:tcW w:type="dxa" w:w="2400"/>
          </w:tcPr>
          <w:p>
            <w:r>
              <w:rPr>
                <w:sz w:val="19"/>
                <w:szCs w:val="19"/>
              </w:rPr>
              <w:t xml:space="preserve">Correct, standards-compliant use of published APIs (FHIR, Halo Connect)</w:t>
            </w:r>
          </w:p>
        </w:tc>
        <w:tc>
          <w:tcPr>
            <w:tcW w:type="dxa" w:w="1000"/>
          </w:tcPr>
          <w:p>
            <w:r>
              <w:rPr>
                <w:sz w:val="19"/>
                <w:szCs w:val="19"/>
              </w:rPr>
              <w:t xml:space="preserve">Low</w:t>
            </w:r>
          </w:p>
        </w:tc>
        <w:tc>
          <w:tcPr>
            <w:tcW w:type="dxa" w:w="1000"/>
          </w:tcPr>
          <w:p>
            <w:r>
              <w:rPr>
                <w:sz w:val="19"/>
                <w:szCs w:val="19"/>
              </w:rPr>
              <w:t xml:space="preserve">Medium</w:t>
            </w:r>
          </w:p>
        </w:tc>
        <w:tc>
          <w:tcPr>
            <w:tcW w:type="dxa" w:w="1650"/>
          </w:tcPr>
          <w:p>
            <w:r>
              <w:rPr>
                <w:sz w:val="19"/>
                <w:szCs w:val="19"/>
              </w:rPr>
              <w:t xml:space="preserve">Published API / vendor docs</w:t>
            </w:r>
          </w:p>
        </w:tc>
      </w:tr>
    </w:tbl>
    <w:p>
      <w:pPr>
        <w:spacing w:after="160"/>
      </w:pPr>
      <w:r>
        <w:rPr>
          <w:b w:val="false"/>
          <w:bCs w:val="false"/>
          <w:i w:val="false"/>
          <w:iCs w:val="false"/>
          <w:sz w:val="22"/>
          <w:szCs w:val="22"/>
        </w:rPr>
        <w:t xml:space="preserve"/>
      </w:r>
    </w:p>
    <w:p>
      <w:pPr>
        <w:pStyle w:val="ListParagraph"/>
        <w:numPr>
          <w:ilvl w:val="0"/>
          <w:numId w:val="1"/>
        </w:numPr>
        <w:spacing w:after="80"/>
      </w:pPr>
      <w:r>
        <w:t xml:space="preserve">Confirm Atif Nisar is comfortable with weekly video calls as the primary engagement channel going forward.</w:t>
      </w:r>
    </w:p>
    <w:p>
      <w:pPr>
        <w:pStyle w:val="ListParagraph"/>
        <w:numPr>
          <w:ilvl w:val="0"/>
          <w:numId w:val="1"/>
        </w:numPr>
        <w:spacing w:after="80"/>
      </w:pPr>
      <w:r>
        <w:t xml:space="preserve">Invite Md Ashraf Uddin to Jira and GitHub — outstanding as of Week 1.</w:t>
      </w:r>
    </w:p>
    <w:p>
      <w:pPr>
        <w:pStyle w:val="ListParagraph"/>
        <w:numPr>
          <w:ilvl w:val="0"/>
          <w:numId w:val="1"/>
        </w:numPr>
        <w:spacing w:after="80"/>
      </w:pPr>
      <w:r>
        <w:t xml:space="preserve">Ask Atif who the nominated day-to-day MedTalk Connect contact will be.</w:t>
      </w:r>
    </w:p>
    <w:p>
      <w:pPr>
        <w:pStyle w:val="ListParagraph"/>
        <w:numPr>
          <w:ilvl w:val="0"/>
          <w:numId w:val="1"/>
        </w:numPr>
        <w:spacing w:after="80"/>
      </w:pPr>
      <w:r>
        <w:t xml:space="preserve">Revisit the power–interest quadrant placements after the Thursday mentor meeting.</w:t>
      </w:r>
    </w:p>
    <w:p>
      <w:r>
        <w:br w:type="page"/>
      </w:r>
    </w:p>
    <w:p>
      <w:pPr>
        <w:pStyle w:val="Heading1"/>
        <w:spacing w:after="150" w:before="300"/>
      </w:pPr>
      <w:r>
        <w:rPr>
          <w:color w:val="000000"/>
        </w:rPr>
        <w:t xml:space="preserve">Week 2 — Business &amp; Problem Analysis</w:t>
      </w:r>
    </w:p>
    <w:p>
      <w:pPr>
        <w:spacing w:after="160"/>
      </w:pPr>
      <w:r>
        <w:rPr>
          <w:b w:val="false"/>
          <w:bCs w:val="false"/>
          <w:i w:val="false"/>
          <w:iCs w:val="false"/>
          <w:sz w:val="22"/>
          <w:szCs w:val="22"/>
        </w:rPr>
        <w:t xml:space="preserve">My task: lead the organisation/process profile, root-cause analysis and SWOT. Grounded in CIHEBR_1 and MEDTAL_1–4.</w:t>
      </w:r>
    </w:p>
    <w:p>
      <w:pPr>
        <w:pStyle w:val="Heading2"/>
        <w:spacing w:after="120" w:before="250"/>
      </w:pPr>
      <w:r>
        <w:rPr>
          <w:color w:val="000000"/>
        </w:rPr>
        <w:t xml:space="preserve">2.1 Organisation profile</w:t>
      </w:r>
    </w:p>
    <w:p>
      <w:pPr>
        <w:spacing w:after="160"/>
      </w:pPr>
      <w:r>
        <w:rPr>
          <w:b w:val="false"/>
          <w:bCs w:val="false"/>
          <w:i w:val="false"/>
          <w:iCs w:val="false"/>
          <w:sz w:val="22"/>
          <w:szCs w:val="22"/>
        </w:rPr>
        <w:t xml:space="preserve">FAZ Australia is a Canberra-based health-technology company. Its commercial platform, MedTalk Connect, is a multi-tenant, white-label healthcare interoperability layer; its first reference application, MedTalk AI (an ambient clinical documentation assistant), is already procured and in production use at Canberra Health Services. FAZ Australia positions MedTalk Connect as sovereign Australian infrastructure, comparable in category to platforms like Redox and Smile Digital Health, but purpose-built for the Australian regulatory and vendor landscape.</w:t>
      </w:r>
    </w:p>
    <w:p>
      <w:pPr>
        <w:pStyle w:val="Heading2"/>
        <w:spacing w:after="120" w:before="250"/>
      </w:pPr>
      <w:r>
        <w:rPr>
          <w:color w:val="000000"/>
        </w:rPr>
        <w:t xml:space="preserve">2.2 Process profile — current state</w:t>
      </w:r>
    </w:p>
    <w:p>
      <w:pPr>
        <w:pStyle w:val="ListParagraph"/>
        <w:numPr>
          <w:ilvl w:val="0"/>
          <w:numId w:val="1"/>
        </w:numPr>
        <w:spacing w:after="80"/>
      </w:pPr>
      <w:r>
        <w:t xml:space="preserve">New connector work (e.g. proving Oracle Health Millennium and Best Practice in production) has been validated directly against real integration partners and the Canberra Health Services deployment, since MedTalk AI is FAZ Australia's only current reference application.</w:t>
      </w:r>
    </w:p>
    <w:p>
      <w:pPr>
        <w:pStyle w:val="ListParagraph"/>
        <w:numPr>
          <w:ilvl w:val="0"/>
          <w:numId w:val="1"/>
        </w:numPr>
        <w:spacing w:after="80"/>
      </w:pPr>
      <w:r>
        <w:t xml:space="preserve">There is no dedicated synthetic/sandboxed environment for testing MedTalk Connect's connector layer independently of a live customer relationship.</w:t>
      </w:r>
    </w:p>
    <w:p>
      <w:pPr>
        <w:pStyle w:val="ListParagraph"/>
        <w:numPr>
          <w:ilvl w:val="0"/>
          <w:numId w:val="1"/>
        </w:numPr>
        <w:spacing w:after="80"/>
      </w:pPr>
      <w:r>
        <w:t xml:space="preserve">Terminology mapping (SNOMED CT-AU → ICD-10-AM → MBS) is referenced as a platform capability in the brief and starter kit, but no systematic test coverage for it is documented in MEDTAL_1–4.</w:t>
      </w:r>
    </w:p>
    <w:p>
      <w:pPr>
        <w:pStyle w:val="Heading2"/>
        <w:spacing w:after="120" w:before="250"/>
      </w:pPr>
      <w:r>
        <w:rPr>
          <w:color w:val="000000"/>
        </w:rPr>
        <w:t xml:space="preserve">2.3 Problem statement</w:t>
      </w:r>
    </w:p>
    <w:p>
      <w:pPr>
        <w:spacing w:after="160"/>
      </w:pPr>
      <w:r>
        <w:rPr>
          <w:b w:val="false"/>
          <w:bCs w:val="false"/>
          <w:i w:val="false"/>
          <w:iCs w:val="false"/>
          <w:sz w:val="22"/>
          <w:szCs w:val="22"/>
        </w:rPr>
        <w:t xml:space="preserve">FAZ Australia needs to validate new and existing MedTalk Connect connector integrations and terminology mappings before they reach production, but no safe, repeatable, fully synthetic test environment currently exists to do this without risk to real patient data.</w:t>
      </w:r>
    </w:p>
    <w:p>
      <w:pPr>
        <w:pStyle w:val="Heading2"/>
        <w:spacing w:after="120" w:before="250"/>
      </w:pPr>
      <w:r>
        <w:rPr>
          <w:color w:val="000000"/>
        </w:rPr>
        <w:t xml:space="preserve">2.4 Root-cause analysis (5 Whys)</w:t>
      </w:r>
    </w:p>
    <w:p>
      <w:pPr>
        <w:pStyle w:val="ListParagraph"/>
        <w:numPr>
          <w:ilvl w:val="0"/>
          <w:numId w:val="1"/>
        </w:numPr>
        <w:spacing w:after="80"/>
      </w:pPr>
      <w:r>
        <w:t xml:space="preserve">Why is there no synthetic test environment? — Because no synthetic patient dataset or mock connector environment has been built yet.</w:t>
      </w:r>
    </w:p>
    <w:p>
      <w:pPr>
        <w:pStyle w:val="ListParagraph"/>
        <w:numPr>
          <w:ilvl w:val="0"/>
          <w:numId w:val="1"/>
        </w:numPr>
        <w:spacing w:after="80"/>
      </w:pPr>
      <w:r>
        <w:t xml:space="preserve">Why hasn't it been built? — Because building a realistic synthetic dataset with correct SNOMED CT-AU/ICD-10-AM/MBS coding requires dedicated clinical-terminology effort that hasn't been prioritised.</w:t>
      </w:r>
    </w:p>
    <w:p>
      <w:pPr>
        <w:pStyle w:val="ListParagraph"/>
        <w:numPr>
          <w:ilvl w:val="0"/>
          <w:numId w:val="1"/>
        </w:numPr>
        <w:spacing w:after="80"/>
      </w:pPr>
      <w:r>
        <w:t xml:space="preserve">Why hasn't it been prioritised? — Because engineering focus has been on proving the production connectors (Oracle Health Millennium, Best Practice) against the real Canberra Health Services deployment.</w:t>
      </w:r>
    </w:p>
    <w:p>
      <w:pPr>
        <w:pStyle w:val="ListParagraph"/>
        <w:numPr>
          <w:ilvl w:val="0"/>
          <w:numId w:val="1"/>
        </w:numPr>
        <w:spacing w:after="80"/>
      </w:pPr>
      <w:r>
        <w:t xml:space="preserve">Why was that prioritised instead? — Because MedTalk Connect's commercial credibility depends on a working, evidenced reference application in production first.</w:t>
      </w:r>
    </w:p>
    <w:p>
      <w:pPr>
        <w:pStyle w:val="ListParagraph"/>
        <w:numPr>
          <w:ilvl w:val="0"/>
          <w:numId w:val="1"/>
        </w:numPr>
        <w:spacing w:after="80"/>
      </w:pPr>
      <w:r>
        <w:t xml:space="preserve">Why does that trade-off still leave a gap? — Because MedTalk Connect is a young platform (its reference application launched in 2025); testing infrastructure that isn't customer-facing was reasonably deferred during that early build-out phase.</w:t>
      </w:r>
    </w:p>
    <w:p>
      <w:pPr>
        <w:spacing w:after="160"/>
      </w:pPr>
      <w:r>
        <w:rPr>
          <w:b w:val="false"/>
          <w:bCs w:val="false"/>
          <w:i w:val="false"/>
          <w:iCs w:val="false"/>
          <w:sz w:val="22"/>
          <w:szCs w:val="22"/>
        </w:rPr>
        <w:t xml:space="preserve">Root cause: testing infrastructure investment was deprioritised relative to shipping production connectors during the platform's early growth phase — a reasonable trade-off, but one that now needs addressing before onboarding further connectors or customers.</w:t>
      </w:r>
    </w:p>
    <w:p>
      <w:pPr>
        <w:pStyle w:val="Heading2"/>
        <w:spacing w:after="120" w:before="250"/>
      </w:pPr>
      <w:r>
        <w:rPr>
          <w:color w:val="000000"/>
        </w:rPr>
        <w:t xml:space="preserve">2.5 SWOT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00000" w:val="clear"/>
          </w:tcPr>
          <w:p>
            <w:r>
              <w:rPr>
                <w:b/>
                <w:bCs/>
                <w:color w:val="FFFFFF"/>
                <w:sz w:val="19"/>
                <w:szCs w:val="19"/>
              </w:rPr>
              <w:t xml:space="preserve">Strengths</w:t>
            </w:r>
          </w:p>
        </w:tc>
        <w:tc>
          <w:tcPr>
            <w:tcW w:type="dxa" w:w="4675"/>
            <w:shd w:fill="000000" w:val="clear"/>
          </w:tcPr>
          <w:p>
            <w:r>
              <w:rPr>
                <w:b/>
                <w:bCs/>
                <w:color w:val="FFFFFF"/>
                <w:sz w:val="19"/>
                <w:szCs w:val="19"/>
              </w:rPr>
              <w:t xml:space="preserve">Weaknesses</w:t>
            </w:r>
          </w:p>
        </w:tc>
      </w:tr>
      <w:tr>
        <w:tc>
          <w:tcPr>
            <w:tcW w:type="dxa" w:w="4675"/>
          </w:tcPr>
          <w:p>
            <w:pPr>
              <w:pStyle w:val="ListParagraph"/>
              <w:numPr>
                <w:ilvl w:val="0"/>
                <w:numId w:val="1"/>
              </w:numPr>
            </w:pPr>
            <w:r>
              <w:t xml:space="preserve">FHIR-first, AU Core-conformant canonical architecture — one integration point for every connector</w:t>
            </w:r>
          </w:p>
          <w:p>
            <w:pPr>
              <w:pStyle w:val="ListParagraph"/>
              <w:numPr>
                <w:ilvl w:val="0"/>
                <w:numId w:val="1"/>
              </w:numPr>
            </w:pPr>
            <w:r>
              <w:t xml:space="preserve">Two production-implemented connectors already proven: Oracle Health Millennium and Best Practice (via Halo Connect)</w:t>
            </w:r>
          </w:p>
          <w:p>
            <w:pPr>
              <w:pStyle w:val="ListParagraph"/>
              <w:numPr>
                <w:ilvl w:val="0"/>
                <w:numId w:val="1"/>
              </w:numPr>
            </w:pPr>
            <w:r>
              <w:t xml:space="preserve">A real production reference customer (MedTalk AI at Canberra Health Services) demonstrating the architecture works</w:t>
            </w:r>
          </w:p>
        </w:tc>
        <w:tc>
          <w:tcPr>
            <w:tcW w:type="dxa" w:w="4675"/>
          </w:tcPr>
          <w:p>
            <w:pPr>
              <w:pStyle w:val="ListParagraph"/>
              <w:numPr>
                <w:ilvl w:val="0"/>
                <w:numId w:val="1"/>
              </w:numPr>
            </w:pPr>
            <w:r>
              <w:t xml:space="preserve">No dedicated synthetic test environment exists yet — integration validation currently has no safe, repeatable sandbox</w:t>
            </w:r>
          </w:p>
          <w:p>
            <w:pPr>
              <w:pStyle w:val="ListParagraph"/>
              <w:numPr>
                <w:ilvl w:val="0"/>
                <w:numId w:val="1"/>
              </w:numPr>
            </w:pPr>
            <w:r>
              <w:t xml:space="preserve">SNOMED CT-AU → ICD-10-AM → MBS terminology mapping is not yet systematised or tested for edge cases</w:t>
            </w:r>
          </w:p>
          <w:p>
            <w:pPr>
              <w:pStyle w:val="ListParagraph"/>
              <w:numPr>
                <w:ilvl w:val="0"/>
                <w:numId w:val="1"/>
              </w:numPr>
            </w:pPr>
            <w:r>
              <w:t xml:space="preserve">Epic connectivity is sandbox-validated only — one production-grade connector short of full coverage</w:t>
            </w:r>
          </w:p>
        </w:tc>
      </w:tr>
      <w:tr>
        <w:trPr>
          <w:tblHeader/>
        </w:trPr>
        <w:tc>
          <w:tcPr>
            <w:tcW w:type="dxa" w:w="4675"/>
            <w:shd w:fill="000000" w:val="clear"/>
          </w:tcPr>
          <w:p>
            <w:r>
              <w:rPr>
                <w:b/>
                <w:bCs/>
                <w:color w:val="FFFFFF"/>
                <w:sz w:val="19"/>
                <w:szCs w:val="19"/>
              </w:rPr>
              <w:t xml:space="preserve">Opportunities</w:t>
            </w:r>
          </w:p>
        </w:tc>
        <w:tc>
          <w:tcPr>
            <w:tcW w:type="dxa" w:w="4675"/>
            <w:shd w:fill="000000" w:val="clear"/>
          </w:tcPr>
          <w:p>
            <w:r>
              <w:rPr>
                <w:b/>
                <w:bCs/>
                <w:color w:val="FFFFFF"/>
                <w:sz w:val="19"/>
                <w:szCs w:val="19"/>
              </w:rPr>
              <w:t xml:space="preserve">Threats</w:t>
            </w:r>
          </w:p>
        </w:tc>
      </w:tr>
      <w:tr>
        <w:tc>
          <w:tcPr>
            <w:tcW w:type="dxa" w:w="4675"/>
          </w:tcPr>
          <w:p>
            <w:pPr>
              <w:pStyle w:val="ListParagraph"/>
              <w:numPr>
                <w:ilvl w:val="0"/>
                <w:numId w:val="1"/>
              </w:numPr>
            </w:pPr>
            <w:r>
              <w:t xml:space="preserve">A reusable test harness lowers the cost of onboarding future connectors (MedicalDirector) and future reference applications</w:t>
            </w:r>
          </w:p>
          <w:p>
            <w:pPr>
              <w:pStyle w:val="ListParagraph"/>
              <w:numPr>
                <w:ilvl w:val="0"/>
                <w:numId w:val="1"/>
              </w:numPr>
            </w:pPr>
            <w:r>
              <w:t xml:space="preserve">Stronger, evidenced test coverage improves FAZ Australia's compliance story for government/enterprise procurement</w:t>
            </w:r>
          </w:p>
          <w:p>
            <w:pPr>
              <w:pStyle w:val="ListParagraph"/>
              <w:numPr>
                <w:ilvl w:val="0"/>
                <w:numId w:val="1"/>
              </w:numPr>
            </w:pPr>
            <w:r>
              <w:t xml:space="preserve">Capstone project delivers this capability at low cost, ahead of scaling to a second reference application</w:t>
            </w:r>
          </w:p>
        </w:tc>
        <w:tc>
          <w:tcPr>
            <w:tcW w:type="dxa" w:w="4675"/>
          </w:tcPr>
          <w:p>
            <w:pPr>
              <w:pStyle w:val="ListParagraph"/>
              <w:numPr>
                <w:ilvl w:val="0"/>
                <w:numId w:val="1"/>
              </w:numPr>
            </w:pPr>
            <w:r>
              <w:t xml:space="preserve">Any accidental use of real patient data during testing would be a serious privacy/compliance failure</w:t>
            </w:r>
          </w:p>
          <w:p>
            <w:pPr>
              <w:pStyle w:val="ListParagraph"/>
              <w:numPr>
                <w:ilvl w:val="0"/>
                <w:numId w:val="1"/>
              </w:numPr>
            </w:pPr>
            <w:r>
              <w:t xml:space="preserve">Comparable international interoperability platforms (Redox, Smile Digital Health) already offer mature testing tooling</w:t>
            </w:r>
          </w:p>
          <w:p>
            <w:pPr>
              <w:pStyle w:val="ListParagraph"/>
              <w:numPr>
                <w:ilvl w:val="0"/>
                <w:numId w:val="1"/>
              </w:numPr>
            </w:pPr>
            <w:r>
              <w:t xml:space="preserve">Incorrect code mapping (SNOMED CT-AU → ICD-10-AM/MBS) in production could cause billing or clinical documentation errors</w:t>
            </w:r>
          </w:p>
        </w:tc>
      </w:tr>
    </w:tbl>
    <w:p>
      <w:pPr>
        <w:spacing w:after="160"/>
      </w:pPr>
      <w:r>
        <w:rPr>
          <w:b w:val="false"/>
          <w:bCs w:val="false"/>
          <w:i w:val="false"/>
          <w:iCs w:val="false"/>
          <w:sz w:val="22"/>
          <w:szCs w:val="22"/>
        </w:rPr>
        <w:t xml:space="preserve"/>
      </w:r>
    </w:p>
    <w:p>
      <w:pPr>
        <w:shd w:fill="FFF6E0" w:val="clear"/>
        <w:spacing w:after="200"/>
      </w:pPr>
      <w:r>
        <w:rPr>
          <w:b/>
          <w:bCs/>
          <w:i/>
          <w:iCs/>
          <w:color w:val="8A5A00"/>
          <w:sz w:val="20"/>
          <w:szCs w:val="20"/>
        </w:rPr>
        <w:t xml:space="preserve">Note to team: </w:t>
      </w:r>
      <w:r>
        <w:rPr>
          <w:i/>
          <w:iCs/>
          <w:color w:val="8A5A00"/>
          <w:sz w:val="20"/>
          <w:szCs w:val="20"/>
        </w:rPr>
        <w:t xml:space="preserve">First pass grounded in MEDTAL_1–4 and the brief, not a validated business analysis — worth sanity-checking the problem statement and root-cause chain with Atif.</w:t>
      </w:r>
    </w:p>
    <w:p>
      <w:r>
        <w:br w:type="page"/>
      </w:r>
    </w:p>
    <w:p>
      <w:pPr>
        <w:pStyle w:val="Heading1"/>
        <w:spacing w:after="150" w:before="300"/>
      </w:pPr>
      <w:r>
        <w:rPr>
          <w:color w:val="000000"/>
        </w:rPr>
        <w:t xml:space="preserve">Week 3 — Requirements Elicitation</w:t>
      </w:r>
    </w:p>
    <w:p>
      <w:pPr>
        <w:spacing w:after="160"/>
      </w:pPr>
      <w:r>
        <w:rPr>
          <w:b w:val="false"/>
          <w:bCs w:val="false"/>
          <w:i w:val="false"/>
          <w:iCs w:val="false"/>
          <w:sz w:val="22"/>
          <w:szCs w:val="22"/>
        </w:rPr>
        <w:t xml:space="preserve">My task: facilitate elicitation sessions and consolidate requirements from the team into a single report.</w:t>
      </w:r>
    </w:p>
    <w:p>
      <w:pPr>
        <w:pStyle w:val="Heading2"/>
        <w:spacing w:after="120" w:before="250"/>
      </w:pPr>
      <w:r>
        <w:rPr>
          <w:color w:val="000000"/>
        </w:rPr>
        <w:t xml:space="preserve">3.1 Elicitation methods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75"/>
        <w:gridCol w:w="3775"/>
      </w:tblGrid>
      <w:tr>
        <w:trPr>
          <w:tblHeader/>
        </w:trPr>
        <w:tc>
          <w:tcPr>
            <w:tcW w:type="dxa" w:w="1800"/>
            <w:shd w:fill="000000" w:val="clear"/>
          </w:tcPr>
          <w:p>
            <w:r>
              <w:rPr>
                <w:b/>
                <w:bCs/>
                <w:color w:val="FFFFFF"/>
                <w:sz w:val="19"/>
                <w:szCs w:val="19"/>
              </w:rPr>
              <w:t xml:space="preserve">Method</w:t>
            </w:r>
          </w:p>
        </w:tc>
        <w:tc>
          <w:tcPr>
            <w:tcW w:type="dxa" w:w="3775"/>
            <w:shd w:fill="000000" w:val="clear"/>
          </w:tcPr>
          <w:p>
            <w:r>
              <w:rPr>
                <w:b/>
                <w:bCs/>
                <w:color w:val="FFFFFF"/>
                <w:sz w:val="19"/>
                <w:szCs w:val="19"/>
              </w:rPr>
              <w:t xml:space="preserve">Source</w:t>
            </w:r>
          </w:p>
        </w:tc>
        <w:tc>
          <w:tcPr>
            <w:tcW w:type="dxa" w:w="3775"/>
            <w:shd w:fill="000000" w:val="clear"/>
          </w:tcPr>
          <w:p>
            <w:r>
              <w:rPr>
                <w:b/>
                <w:bCs/>
                <w:color w:val="FFFFFF"/>
                <w:sz w:val="19"/>
                <w:szCs w:val="19"/>
              </w:rPr>
              <w:t xml:space="preserve">What it surfaced</w:t>
            </w:r>
          </w:p>
        </w:tc>
      </w:tr>
      <w:tr>
        <w:tc>
          <w:tcPr>
            <w:tcW w:type="dxa" w:w="1800"/>
          </w:tcPr>
          <w:p>
            <w:r>
              <w:rPr>
                <w:sz w:val="19"/>
                <w:szCs w:val="19"/>
              </w:rPr>
              <w:t xml:space="preserve">Document analysis</w:t>
            </w:r>
          </w:p>
        </w:tc>
        <w:tc>
          <w:tcPr>
            <w:tcW w:type="dxa" w:w="3775"/>
          </w:tcPr>
          <w:p>
            <w:r>
              <w:rPr>
                <w:sz w:val="19"/>
                <w:szCs w:val="19"/>
              </w:rPr>
              <w:t xml:space="preserve">CIHEBR_1, MEDTAL_1–4, STARTE_1</w:t>
            </w:r>
          </w:p>
        </w:tc>
        <w:tc>
          <w:tcPr>
            <w:tcW w:type="dxa" w:w="3775"/>
          </w:tcPr>
          <w:p>
            <w:r>
              <w:rPr>
                <w:sz w:val="19"/>
                <w:szCs w:val="19"/>
              </w:rPr>
              <w:t xml:space="preserve">Connector maturity, platform architecture, glossary, scope boundaries</w:t>
            </w:r>
          </w:p>
        </w:tc>
      </w:tr>
      <w:tr>
        <w:tc>
          <w:tcPr>
            <w:tcW w:type="dxa" w:w="1800"/>
          </w:tcPr>
          <w:p>
            <w:r>
              <w:rPr>
                <w:sz w:val="19"/>
                <w:szCs w:val="19"/>
              </w:rPr>
              <w:t xml:space="preserve">Stakeholder interview</w:t>
            </w:r>
          </w:p>
        </w:tc>
        <w:tc>
          <w:tcPr>
            <w:tcW w:type="dxa" w:w="3775"/>
          </w:tcPr>
          <w:p>
            <w:r>
              <w:rPr>
                <w:sz w:val="19"/>
                <w:szCs w:val="19"/>
              </w:rPr>
              <w:t xml:space="preserve">Atif Nisar (mentor)</w:t>
            </w:r>
          </w:p>
        </w:tc>
        <w:tc>
          <w:tcPr>
            <w:tcW w:type="dxa" w:w="3775"/>
          </w:tcPr>
          <w:p>
            <w:r>
              <w:rPr>
                <w:sz w:val="19"/>
                <w:szCs w:val="19"/>
              </w:rPr>
              <w:t xml:space="preserve">Delivery preference (lean/Agile — working skeleton first, then iterate)</w:t>
            </w:r>
          </w:p>
        </w:tc>
      </w:tr>
      <w:tr>
        <w:tc>
          <w:tcPr>
            <w:tcW w:type="dxa" w:w="1800"/>
          </w:tcPr>
          <w:p>
            <w:r>
              <w:rPr>
                <w:sz w:val="19"/>
                <w:szCs w:val="19"/>
              </w:rPr>
              <w:t xml:space="preserve">Team workshop</w:t>
            </w:r>
          </w:p>
        </w:tc>
        <w:tc>
          <w:tcPr>
            <w:tcW w:type="dxa" w:w="3775"/>
          </w:tcPr>
          <w:p>
            <w:r>
              <w:rPr>
                <w:sz w:val="19"/>
                <w:szCs w:val="19"/>
              </w:rPr>
              <w:t xml:space="preserve">Team brainstorm, Week 3 session</w:t>
            </w:r>
          </w:p>
        </w:tc>
        <w:tc>
          <w:tcPr>
            <w:tcW w:type="dxa" w:w="3775"/>
          </w:tcPr>
          <w:p>
            <w:r>
              <w:rPr>
                <w:sz w:val="19"/>
                <w:szCs w:val="19"/>
              </w:rPr>
              <w:t xml:space="preserve">Draft functional/non-functional requirement candidates for review</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3.2 Draft functional requirements</w:t>
      </w:r>
    </w:p>
    <w:p>
      <w:pPr>
        <w:spacing w:after="160"/>
      </w:pPr>
      <w:r>
        <w:rPr>
          <w:b w:val="false"/>
          <w:bCs w:val="false"/>
          <w:i w:val="false"/>
          <w:iCs w:val="false"/>
          <w:sz w:val="22"/>
          <w:szCs w:val="22"/>
        </w:rPr>
        <w:t xml:space="preserve">Consolidated from document analysis and team input — Rikesh's FHIR/connector input, Charity's clinical-data input, Zubair's non-functional/testing input, folded in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000000" w:val="clear"/>
          </w:tcPr>
          <w:p>
            <w:r>
              <w:rPr>
                <w:b/>
                <w:bCs/>
                <w:color w:val="FFFFFF"/>
                <w:sz w:val="19"/>
                <w:szCs w:val="19"/>
              </w:rPr>
              <w:t xml:space="preserve">ID</w:t>
            </w:r>
          </w:p>
        </w:tc>
        <w:tc>
          <w:tcPr>
            <w:tcW w:type="dxa" w:w="8150"/>
            <w:shd w:fill="000000" w:val="clear"/>
          </w:tcPr>
          <w:p>
            <w:r>
              <w:rPr>
                <w:b/>
                <w:bCs/>
                <w:color w:val="FFFFFF"/>
                <w:sz w:val="19"/>
                <w:szCs w:val="19"/>
              </w:rPr>
              <w:t xml:space="preserve">Requirement</w:t>
            </w:r>
          </w:p>
        </w:tc>
      </w:tr>
      <w:tr>
        <w:tc>
          <w:tcPr>
            <w:tcW w:type="dxa" w:w="1200"/>
          </w:tcPr>
          <w:p>
            <w:r>
              <w:rPr>
                <w:sz w:val="19"/>
                <w:szCs w:val="19"/>
              </w:rPr>
              <w:t xml:space="preserve">FR1</w:t>
            </w:r>
          </w:p>
        </w:tc>
        <w:tc>
          <w:tcPr>
            <w:tcW w:type="dxa" w:w="8150"/>
          </w:tcPr>
          <w:p>
            <w:r>
              <w:rPr>
                <w:sz w:val="19"/>
                <w:szCs w:val="19"/>
              </w:rPr>
              <w:t xml:space="preserve">Generate a synthetic patient dataset coded in SNOMED CT-AU</w:t>
            </w:r>
          </w:p>
        </w:tc>
      </w:tr>
      <w:tr>
        <w:tc>
          <w:tcPr>
            <w:tcW w:type="dxa" w:w="1200"/>
          </w:tcPr>
          <w:p>
            <w:r>
              <w:rPr>
                <w:sz w:val="19"/>
                <w:szCs w:val="19"/>
              </w:rPr>
              <w:t xml:space="preserve">FR2</w:t>
            </w:r>
          </w:p>
        </w:tc>
        <w:tc>
          <w:tcPr>
            <w:tcW w:type="dxa" w:w="8150"/>
          </w:tcPr>
          <w:p>
            <w:r>
              <w:rPr>
                <w:sz w:val="19"/>
                <w:szCs w:val="19"/>
              </w:rPr>
              <w:t xml:space="preserve">Mock a Best Practice/Halo Connect-style FHIR endpoint for MedTalk Connect to integrate against</w:t>
            </w:r>
          </w:p>
        </w:tc>
      </w:tr>
      <w:tr>
        <w:tc>
          <w:tcPr>
            <w:tcW w:type="dxa" w:w="1200"/>
          </w:tcPr>
          <w:p>
            <w:r>
              <w:rPr>
                <w:sz w:val="19"/>
                <w:szCs w:val="19"/>
              </w:rPr>
              <w:t xml:space="preserve">FR3</w:t>
            </w:r>
          </w:p>
        </w:tc>
        <w:tc>
          <w:tcPr>
            <w:tcW w:type="dxa" w:w="8150"/>
          </w:tcPr>
          <w:p>
            <w:r>
              <w:rPr>
                <w:sz w:val="19"/>
                <w:szCs w:val="19"/>
              </w:rPr>
              <w:t xml:space="preserve">Mock an Oracle Health Millennium-style HL7 v2/FHIR endpoint for MedTalk Connect to integrate against</w:t>
            </w:r>
          </w:p>
        </w:tc>
      </w:tr>
      <w:tr>
        <w:tc>
          <w:tcPr>
            <w:tcW w:type="dxa" w:w="1200"/>
          </w:tcPr>
          <w:p>
            <w:r>
              <w:rPr>
                <w:sz w:val="19"/>
                <w:szCs w:val="19"/>
              </w:rPr>
              <w:t xml:space="preserve">FR4</w:t>
            </w:r>
          </w:p>
        </w:tc>
        <w:tc>
          <w:tcPr>
            <w:tcW w:type="dxa" w:w="8150"/>
          </w:tcPr>
          <w:p>
            <w:r>
              <w:rPr>
                <w:sz w:val="19"/>
                <w:szCs w:val="19"/>
              </w:rPr>
              <w:t xml:space="preserve">Map synthetic SNOMED CT-AU encounters to ICD-10-AM codes</w:t>
            </w:r>
          </w:p>
        </w:tc>
      </w:tr>
      <w:tr>
        <w:tc>
          <w:tcPr>
            <w:tcW w:type="dxa" w:w="1200"/>
          </w:tcPr>
          <w:p>
            <w:r>
              <w:rPr>
                <w:sz w:val="19"/>
                <w:szCs w:val="19"/>
              </w:rPr>
              <w:t xml:space="preserve">FR5</w:t>
            </w:r>
          </w:p>
        </w:tc>
        <w:tc>
          <w:tcPr>
            <w:tcW w:type="dxa" w:w="8150"/>
          </w:tcPr>
          <w:p>
            <w:r>
              <w:rPr>
                <w:sz w:val="19"/>
                <w:szCs w:val="19"/>
              </w:rPr>
              <w:t xml:space="preserve">Map synthetic encounters to MBS billing item numbers</w:t>
            </w:r>
          </w:p>
        </w:tc>
      </w:tr>
      <w:tr>
        <w:tc>
          <w:tcPr>
            <w:tcW w:type="dxa" w:w="1200"/>
          </w:tcPr>
          <w:p>
            <w:r>
              <w:rPr>
                <w:sz w:val="19"/>
                <w:szCs w:val="19"/>
              </w:rPr>
              <w:t xml:space="preserve">FR6</w:t>
            </w:r>
          </w:p>
        </w:tc>
        <w:tc>
          <w:tcPr>
            <w:tcW w:type="dxa" w:w="8150"/>
          </w:tcPr>
          <w:p>
            <w:r>
              <w:rPr>
                <w:sz w:val="19"/>
                <w:szCs w:val="19"/>
              </w:rPr>
              <w:t xml:space="preserve">Simulate failure conditions: slow response, malformed/bad data, dropped connection</w:t>
            </w:r>
          </w:p>
        </w:tc>
      </w:tr>
      <w:tr>
        <w:tc>
          <w:tcPr>
            <w:tcW w:type="dxa" w:w="1200"/>
          </w:tcPr>
          <w:p>
            <w:r>
              <w:rPr>
                <w:sz w:val="19"/>
                <w:szCs w:val="19"/>
              </w:rPr>
              <w:t xml:space="preserve">FR7</w:t>
            </w:r>
          </w:p>
        </w:tc>
        <w:tc>
          <w:tcPr>
            <w:tcW w:type="dxa" w:w="8150"/>
          </w:tcPr>
          <w:p>
            <w:r>
              <w:rPr>
                <w:sz w:val="19"/>
                <w:szCs w:val="19"/>
              </w:rPr>
              <w:t xml:space="preserve">Produce a test report showing what was tested, and pass/fail outcomes</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3.3 Draft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000000" w:val="clear"/>
          </w:tcPr>
          <w:p>
            <w:r>
              <w:rPr>
                <w:b/>
                <w:bCs/>
                <w:color w:val="FFFFFF"/>
                <w:sz w:val="19"/>
                <w:szCs w:val="19"/>
              </w:rPr>
              <w:t xml:space="preserve">ID</w:t>
            </w:r>
          </w:p>
        </w:tc>
        <w:tc>
          <w:tcPr>
            <w:tcW w:type="dxa" w:w="8150"/>
            <w:shd w:fill="000000" w:val="clear"/>
          </w:tcPr>
          <w:p>
            <w:r>
              <w:rPr>
                <w:b/>
                <w:bCs/>
                <w:color w:val="FFFFFF"/>
                <w:sz w:val="19"/>
                <w:szCs w:val="19"/>
              </w:rPr>
              <w:t xml:space="preserve">Requirement</w:t>
            </w:r>
          </w:p>
        </w:tc>
      </w:tr>
      <w:tr>
        <w:tc>
          <w:tcPr>
            <w:tcW w:type="dxa" w:w="1200"/>
          </w:tcPr>
          <w:p>
            <w:r>
              <w:rPr>
                <w:sz w:val="19"/>
                <w:szCs w:val="19"/>
              </w:rPr>
              <w:t xml:space="preserve">NFR1</w:t>
            </w:r>
          </w:p>
        </w:tc>
        <w:tc>
          <w:tcPr>
            <w:tcW w:type="dxa" w:w="8150"/>
          </w:tcPr>
          <w:p>
            <w:r>
              <w:rPr>
                <w:sz w:val="19"/>
                <w:szCs w:val="19"/>
              </w:rPr>
              <w:t xml:space="preserve">The environment must use zero real patient data at any point</w:t>
            </w:r>
          </w:p>
        </w:tc>
      </w:tr>
      <w:tr>
        <w:tc>
          <w:tcPr>
            <w:tcW w:type="dxa" w:w="1200"/>
          </w:tcPr>
          <w:p>
            <w:r>
              <w:rPr>
                <w:sz w:val="19"/>
                <w:szCs w:val="19"/>
              </w:rPr>
              <w:t xml:space="preserve">NFR2</w:t>
            </w:r>
          </w:p>
        </w:tc>
        <w:tc>
          <w:tcPr>
            <w:tcW w:type="dxa" w:w="8150"/>
          </w:tcPr>
          <w:p>
            <w:r>
              <w:rPr>
                <w:sz w:val="19"/>
                <w:szCs w:val="19"/>
              </w:rPr>
              <w:t xml:space="preserve">Mock endpoints must be conformant with FHIR R4 / AU Core, matching MedTalk Connect's canonical API</w:t>
            </w:r>
          </w:p>
        </w:tc>
      </w:tr>
      <w:tr>
        <w:tc>
          <w:tcPr>
            <w:tcW w:type="dxa" w:w="1200"/>
          </w:tcPr>
          <w:p>
            <w:r>
              <w:rPr>
                <w:sz w:val="19"/>
                <w:szCs w:val="19"/>
              </w:rPr>
              <w:t xml:space="preserve">NFR3</w:t>
            </w:r>
          </w:p>
        </w:tc>
        <w:tc>
          <w:tcPr>
            <w:tcW w:type="dxa" w:w="8150"/>
          </w:tcPr>
          <w:p>
            <w:r>
              <w:rPr>
                <w:sz w:val="19"/>
                <w:szCs w:val="19"/>
              </w:rPr>
              <w:t xml:space="preserve">The test environment must be reproducible and version-controlled (GitHub)</w:t>
            </w:r>
          </w:p>
        </w:tc>
      </w:tr>
      <w:tr>
        <w:tc>
          <w:tcPr>
            <w:tcW w:type="dxa" w:w="1200"/>
          </w:tcPr>
          <w:p>
            <w:r>
              <w:rPr>
                <w:sz w:val="19"/>
                <w:szCs w:val="19"/>
              </w:rPr>
              <w:t xml:space="preserve">NFR4</w:t>
            </w:r>
          </w:p>
        </w:tc>
        <w:tc>
          <w:tcPr>
            <w:tcW w:type="dxa" w:w="8150"/>
          </w:tcPr>
          <w:p>
            <w:r>
              <w:rPr>
                <w:sz w:val="19"/>
                <w:szCs w:val="19"/>
              </w:rPr>
              <w:t xml:space="preserve">Documentation must be sufficient to hand off to Stage 2 build without re-analysis</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3.4 Open items from elicitation</w:t>
      </w:r>
    </w:p>
    <w:p>
      <w:pPr>
        <w:pStyle w:val="ListParagraph"/>
        <w:numPr>
          <w:ilvl w:val="0"/>
          <w:numId w:val="1"/>
        </w:numPr>
        <w:spacing w:after="80"/>
      </w:pPr>
      <w:r>
        <w:t xml:space="preserve">Confirm with Atif whether Epic mocking is in scope for Stage 1, given it's sandbox-validated rather than production (affects FR2/FR3 scope).</w:t>
      </w:r>
    </w:p>
    <w:p>
      <w:pPr>
        <w:pStyle w:val="ListParagraph"/>
        <w:numPr>
          <w:ilvl w:val="0"/>
          <w:numId w:val="1"/>
        </w:numPr>
        <w:spacing w:after="80"/>
      </w:pPr>
      <w:r>
        <w:t xml:space="preserve">Confirm minimum number of synthetic clinical scenarios expected (charter currently assumes at least 15, per the SMART objectives).</w:t>
      </w:r>
    </w:p>
    <w:p>
      <w:pPr>
        <w:pStyle w:val="ListParagraph"/>
        <w:numPr>
          <w:ilvl w:val="0"/>
          <w:numId w:val="1"/>
        </w:numPr>
        <w:spacing w:after="80"/>
      </w:pPr>
      <w:r>
        <w:t xml:space="preserve">Clarify expected format for the FR6 failure-report output — plain text log vs. structured report — before Week 4 use-case writing.</w:t>
      </w:r>
    </w:p>
    <w:p>
      <w:pPr>
        <w:shd w:fill="FFF6E0" w:val="clear"/>
        <w:spacing w:after="200"/>
      </w:pPr>
      <w:r>
        <w:rPr>
          <w:b/>
          <w:bCs/>
          <w:i/>
          <w:iCs/>
          <w:color w:val="8A5A00"/>
          <w:sz w:val="20"/>
          <w:szCs w:val="20"/>
        </w:rPr>
        <w:t xml:space="preserve">Note to team: </w:t>
      </w:r>
      <w:r>
        <w:rPr>
          <w:i/>
          <w:iCs/>
          <w:color w:val="8A5A00"/>
          <w:sz w:val="20"/>
          <w:szCs w:val="20"/>
        </w:rPr>
        <w:t xml:space="preserve">This is the elicitation consolidation only — prioritisation and use-case writeup happens in Week 4's SRS, not here.</w:t>
      </w:r>
    </w:p>
    <w:p>
      <w:r>
        <w:br w:type="page"/>
      </w:r>
    </w:p>
    <w:p>
      <w:pPr>
        <w:pStyle w:val="Heading1"/>
        <w:spacing w:after="150" w:before="300"/>
      </w:pPr>
      <w:r>
        <w:rPr>
          <w:color w:val="000000"/>
        </w:rPr>
        <w:t xml:space="preserve">Week 4 — Software Requirements Specification (SRS)</w:t>
      </w:r>
    </w:p>
    <w:p>
      <w:pPr>
        <w:spacing w:after="160"/>
      </w:pPr>
      <w:r>
        <w:rPr>
          <w:b w:val="false"/>
          <w:bCs w:val="false"/>
          <w:i w:val="false"/>
          <w:iCs w:val="false"/>
          <w:sz w:val="22"/>
          <w:szCs w:val="22"/>
        </w:rPr>
        <w:t xml:space="preserve">My task: prioritise and validate the Week 3 requirements, and consolidate them into use cases.</w:t>
      </w:r>
    </w:p>
    <w:p>
      <w:pPr>
        <w:pStyle w:val="Heading2"/>
        <w:spacing w:after="120" w:before="250"/>
      </w:pPr>
      <w:r>
        <w:rPr>
          <w:color w:val="000000"/>
        </w:rPr>
        <w:t xml:space="preserve">4.1 Use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50"/>
      </w:tblGrid>
      <w:tr>
        <w:trPr>
          <w:tblHeader/>
        </w:trPr>
        <w:tc>
          <w:tcPr>
            <w:tcW w:type="dxa" w:w="1200"/>
            <w:shd w:fill="000000" w:val="clear"/>
          </w:tcPr>
          <w:p>
            <w:r>
              <w:rPr>
                <w:b/>
                <w:bCs/>
                <w:color w:val="FFFFFF"/>
                <w:sz w:val="19"/>
                <w:szCs w:val="19"/>
              </w:rPr>
              <w:t xml:space="preserve">ID</w:t>
            </w:r>
          </w:p>
        </w:tc>
        <w:tc>
          <w:tcPr>
            <w:tcW w:type="dxa" w:w="2200"/>
            <w:shd w:fill="000000" w:val="clear"/>
          </w:tcPr>
          <w:p>
            <w:r>
              <w:rPr>
                <w:b/>
                <w:bCs/>
                <w:color w:val="FFFFFF"/>
                <w:sz w:val="19"/>
                <w:szCs w:val="19"/>
              </w:rPr>
              <w:t xml:space="preserve">Title</w:t>
            </w:r>
          </w:p>
        </w:tc>
        <w:tc>
          <w:tcPr>
            <w:tcW w:type="dxa" w:w="5950"/>
            <w:shd w:fill="000000" w:val="clear"/>
          </w:tcPr>
          <w:p>
            <w:r>
              <w:rPr>
                <w:b/>
                <w:bCs/>
                <w:color w:val="FFFFFF"/>
                <w:sz w:val="19"/>
                <w:szCs w:val="19"/>
              </w:rPr>
              <w:t xml:space="preserve">Description</w:t>
            </w:r>
          </w:p>
        </w:tc>
      </w:tr>
      <w:tr>
        <w:tc>
          <w:tcPr>
            <w:tcW w:type="dxa" w:w="1200"/>
          </w:tcPr>
          <w:p>
            <w:r>
              <w:rPr>
                <w:sz w:val="19"/>
                <w:szCs w:val="19"/>
              </w:rPr>
              <w:t xml:space="preserve">UC1</w:t>
            </w:r>
          </w:p>
        </w:tc>
        <w:tc>
          <w:tcPr>
            <w:tcW w:type="dxa" w:w="2200"/>
          </w:tcPr>
          <w:p>
            <w:r>
              <w:rPr>
                <w:sz w:val="19"/>
                <w:szCs w:val="19"/>
              </w:rPr>
              <w:t xml:space="preserve">Test Best Practice connector</w:t>
            </w:r>
          </w:p>
        </w:tc>
        <w:tc>
          <w:tcPr>
            <w:tcW w:type="dxa" w:w="5950"/>
          </w:tcPr>
          <w:p>
            <w:r>
              <w:rPr>
                <w:sz w:val="19"/>
                <w:szCs w:val="19"/>
              </w:rPr>
              <w:t xml:space="preserve">Engineer submits a synthetic FHIR bundle to the mock Best Practice/Halo Connect endpoint and verifies a conformant response</w:t>
            </w:r>
          </w:p>
        </w:tc>
      </w:tr>
      <w:tr>
        <w:tc>
          <w:tcPr>
            <w:tcW w:type="dxa" w:w="1200"/>
          </w:tcPr>
          <w:p>
            <w:r>
              <w:rPr>
                <w:sz w:val="19"/>
                <w:szCs w:val="19"/>
              </w:rPr>
              <w:t xml:space="preserve">UC2</w:t>
            </w:r>
          </w:p>
        </w:tc>
        <w:tc>
          <w:tcPr>
            <w:tcW w:type="dxa" w:w="2200"/>
          </w:tcPr>
          <w:p>
            <w:r>
              <w:rPr>
                <w:sz w:val="19"/>
                <w:szCs w:val="19"/>
              </w:rPr>
              <w:t xml:space="preserve">Test Oracle Health Millennium connector</w:t>
            </w:r>
          </w:p>
        </w:tc>
        <w:tc>
          <w:tcPr>
            <w:tcW w:type="dxa" w:w="5950"/>
          </w:tcPr>
          <w:p>
            <w:r>
              <w:rPr>
                <w:sz w:val="19"/>
                <w:szCs w:val="19"/>
              </w:rPr>
              <w:t xml:space="preserve">Engineer submits a synthetic HL7 v2 message to the mock Oracle Health Millennium endpoint and verifies correct FHIR translation</w:t>
            </w:r>
          </w:p>
        </w:tc>
      </w:tr>
      <w:tr>
        <w:tc>
          <w:tcPr>
            <w:tcW w:type="dxa" w:w="1200"/>
          </w:tcPr>
          <w:p>
            <w:r>
              <w:rPr>
                <w:sz w:val="19"/>
                <w:szCs w:val="19"/>
              </w:rPr>
              <w:t xml:space="preserve">UC3</w:t>
            </w:r>
          </w:p>
        </w:tc>
        <w:tc>
          <w:tcPr>
            <w:tcW w:type="dxa" w:w="2200"/>
          </w:tcPr>
          <w:p>
            <w:r>
              <w:rPr>
                <w:sz w:val="19"/>
                <w:szCs w:val="19"/>
              </w:rPr>
              <w:t xml:space="preserve">Test failure handling</w:t>
            </w:r>
          </w:p>
        </w:tc>
        <w:tc>
          <w:tcPr>
            <w:tcW w:type="dxa" w:w="5950"/>
          </w:tcPr>
          <w:p>
            <w:r>
              <w:rPr>
                <w:sz w:val="19"/>
                <w:szCs w:val="19"/>
              </w:rPr>
              <w:t xml:space="preserve">Engineer triggers a dropped-connection or malformed-data scenario and verifies MedTalk Connect's documented error behaviour (e.g. OperationOutcome, retry/NAK)</w:t>
            </w:r>
          </w:p>
        </w:tc>
      </w:tr>
      <w:tr>
        <w:tc>
          <w:tcPr>
            <w:tcW w:type="dxa" w:w="1200"/>
          </w:tcPr>
          <w:p>
            <w:r>
              <w:rPr>
                <w:sz w:val="19"/>
                <w:szCs w:val="19"/>
              </w:rPr>
              <w:t xml:space="preserve">UC4</w:t>
            </w:r>
          </w:p>
        </w:tc>
        <w:tc>
          <w:tcPr>
            <w:tcW w:type="dxa" w:w="2200"/>
          </w:tcPr>
          <w:p>
            <w:r>
              <w:rPr>
                <w:sz w:val="19"/>
                <w:szCs w:val="19"/>
              </w:rPr>
              <w:t xml:space="preserve">Test terminology mapping</w:t>
            </w:r>
          </w:p>
        </w:tc>
        <w:tc>
          <w:tcPr>
            <w:tcW w:type="dxa" w:w="5950"/>
          </w:tcPr>
          <w:p>
            <w:r>
              <w:rPr>
                <w:sz w:val="19"/>
                <w:szCs w:val="19"/>
              </w:rPr>
              <w:t xml:space="preserve">Engineer submits a SNOMED CT-AU coded encounter and verifies correct ICD-10-AM and MBS code output</w:t>
            </w:r>
          </w:p>
        </w:tc>
      </w:tr>
      <w:tr>
        <w:tc>
          <w:tcPr>
            <w:tcW w:type="dxa" w:w="1200"/>
          </w:tcPr>
          <w:p>
            <w:r>
              <w:rPr>
                <w:sz w:val="19"/>
                <w:szCs w:val="19"/>
              </w:rPr>
              <w:t xml:space="preserve">UC5</w:t>
            </w:r>
          </w:p>
        </w:tc>
        <w:tc>
          <w:tcPr>
            <w:tcW w:type="dxa" w:w="2200"/>
          </w:tcPr>
          <w:p>
            <w:r>
              <w:rPr>
                <w:sz w:val="19"/>
                <w:szCs w:val="19"/>
              </w:rPr>
              <w:t xml:space="preserve">Generate test report</w:t>
            </w:r>
          </w:p>
        </w:tc>
        <w:tc>
          <w:tcPr>
            <w:tcW w:type="dxa" w:w="5950"/>
          </w:tcPr>
          <w:p>
            <w:r>
              <w:rPr>
                <w:sz w:val="19"/>
                <w:szCs w:val="19"/>
              </w:rPr>
              <w:t xml:space="preserve">Engineer runs the full test suite and receives a report of what was tested and what passed/failed</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4.2 Prioritisation (MoSCoW)</w:t>
      </w:r>
    </w:p>
    <w:p>
      <w:pPr>
        <w:spacing w:after="160"/>
      </w:pPr>
      <w:r>
        <w:rPr>
          <w:b w:val="false"/>
          <w:bCs w:val="false"/>
          <w:i w:val="false"/>
          <w:iCs w:val="false"/>
          <w:sz w:val="22"/>
          <w:szCs w:val="22"/>
        </w:rPr>
        <w:t xml:space="preserve">Weighted using the Connector Catalogue's maturity grading (MEDTAL_3) — production-implemented connectors take priority over sandbox-validated or planned 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00000" w:val="clear"/>
          </w:tcPr>
          <w:p>
            <w:r>
              <w:rPr>
                <w:b/>
                <w:bCs/>
                <w:color w:val="FFFFFF"/>
                <w:sz w:val="19"/>
                <w:szCs w:val="19"/>
              </w:rPr>
              <w:t xml:space="preserve">Priority</w:t>
            </w:r>
          </w:p>
        </w:tc>
        <w:tc>
          <w:tcPr>
            <w:tcW w:type="dxa" w:w="7550"/>
            <w:shd w:fill="000000" w:val="clear"/>
          </w:tcPr>
          <w:p>
            <w:r>
              <w:rPr>
                <w:b/>
                <w:bCs/>
                <w:color w:val="FFFFFF"/>
                <w:sz w:val="19"/>
                <w:szCs w:val="19"/>
              </w:rPr>
              <w:t xml:space="preserve">Items</w:t>
            </w:r>
          </w:p>
        </w:tc>
      </w:tr>
      <w:tr>
        <w:tc>
          <w:tcPr>
            <w:tcW w:type="dxa" w:w="1800"/>
          </w:tcPr>
          <w:p>
            <w:r>
              <w:rPr>
                <w:sz w:val="19"/>
                <w:szCs w:val="19"/>
              </w:rPr>
              <w:t xml:space="preserve">Must have</w:t>
            </w:r>
          </w:p>
        </w:tc>
        <w:tc>
          <w:tcPr>
            <w:tcW w:type="dxa" w:w="7550"/>
          </w:tcPr>
          <w:p>
            <w:r>
              <w:rPr>
                <w:sz w:val="19"/>
                <w:szCs w:val="19"/>
              </w:rPr>
              <w:t xml:space="preserve">Mock Best Practice &amp; Oracle Health Millennium connectors (FR2, FR3); SNOMED CT-AU → ICD-10-AM/MBS mapping (FR4, FR5); failure-mode simulation (FR6); test report (FR7)</w:t>
            </w:r>
          </w:p>
        </w:tc>
      </w:tr>
      <w:tr>
        <w:tc>
          <w:tcPr>
            <w:tcW w:type="dxa" w:w="1800"/>
          </w:tcPr>
          <w:p>
            <w:r>
              <w:rPr>
                <w:sz w:val="19"/>
                <w:szCs w:val="19"/>
              </w:rPr>
              <w:t xml:space="preserve">Should have</w:t>
            </w:r>
          </w:p>
        </w:tc>
        <w:tc>
          <w:tcPr>
            <w:tcW w:type="dxa" w:w="7550"/>
          </w:tcPr>
          <w:p>
            <w:r>
              <w:rPr>
                <w:sz w:val="19"/>
                <w:szCs w:val="19"/>
              </w:rPr>
              <w:t xml:space="preserve">Mock Epic connector, scoped to sandbox-equivalent behaviour only</w:t>
            </w:r>
          </w:p>
        </w:tc>
      </w:tr>
      <w:tr>
        <w:tc>
          <w:tcPr>
            <w:tcW w:type="dxa" w:w="1800"/>
          </w:tcPr>
          <w:p>
            <w:r>
              <w:rPr>
                <w:sz w:val="19"/>
                <w:szCs w:val="19"/>
              </w:rPr>
              <w:t xml:space="preserve">Could have</w:t>
            </w:r>
          </w:p>
        </w:tc>
        <w:tc>
          <w:tcPr>
            <w:tcW w:type="dxa" w:w="7550"/>
          </w:tcPr>
          <w:p>
            <w:r>
              <w:rPr>
                <w:sz w:val="19"/>
                <w:szCs w:val="19"/>
              </w:rPr>
              <w:t xml:space="preserve">Placeholder/stub for a future MedicalDirector connector</w:t>
            </w:r>
          </w:p>
        </w:tc>
      </w:tr>
      <w:tr>
        <w:tc>
          <w:tcPr>
            <w:tcW w:type="dxa" w:w="1800"/>
          </w:tcPr>
          <w:p>
            <w:r>
              <w:rPr>
                <w:sz w:val="19"/>
                <w:szCs w:val="19"/>
              </w:rPr>
              <w:t xml:space="preserve">Won't have (Stage 1)</w:t>
            </w:r>
          </w:p>
        </w:tc>
        <w:tc>
          <w:tcPr>
            <w:tcW w:type="dxa" w:w="7550"/>
          </w:tcPr>
          <w:p>
            <w:r>
              <w:rPr>
                <w:sz w:val="19"/>
                <w:szCs w:val="19"/>
              </w:rPr>
              <w:t xml:space="preserve">My Health Record integration — documented as a pathway only, not built</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4.3 Validation notes</w:t>
      </w:r>
    </w:p>
    <w:p>
      <w:pPr>
        <w:pStyle w:val="ListParagraph"/>
        <w:numPr>
          <w:ilvl w:val="0"/>
          <w:numId w:val="1"/>
        </w:numPr>
        <w:spacing w:after="80"/>
      </w:pPr>
      <w:r>
        <w:t xml:space="preserve">Cross-checked FR2/FR3/UC1/UC2 against the canonical API and connector SDK described in the Implementation Guide (MEDTAL_2).</w:t>
      </w:r>
    </w:p>
    <w:p>
      <w:pPr>
        <w:pStyle w:val="ListParagraph"/>
        <w:numPr>
          <w:ilvl w:val="0"/>
          <w:numId w:val="1"/>
        </w:numPr>
        <w:spacing w:after="80"/>
      </w:pPr>
      <w:r>
        <w:t xml:space="preserve">Cross-checked failure-mode requirements (FR6, UC3) against MEDTAL_2's documented error handling (structured OperationOutcome, 429 rate-limit responses, HL7 v2 ACK/NAK).</w:t>
      </w:r>
    </w:p>
    <w:p>
      <w:pPr>
        <w:pStyle w:val="ListParagraph"/>
        <w:numPr>
          <w:ilvl w:val="0"/>
          <w:numId w:val="1"/>
        </w:numPr>
        <w:spacing w:after="80"/>
      </w:pPr>
      <w:r>
        <w:t xml:space="preserve">Flagged FR4/FR5 (terminology mapping) as needing a dedicated reference source beyond MEDTAL_1–4 — none of the four documents details SNOMED CT-AU → ICD-10-AM/MBS mapping logic; likely needs AU Core value sets or a mentor-supplied reference.</w:t>
      </w:r>
    </w:p>
    <w:p>
      <w:pPr>
        <w:shd w:fill="FFF6E0" w:val="clear"/>
        <w:spacing w:after="200"/>
      </w:pPr>
      <w:r>
        <w:rPr>
          <w:b/>
          <w:bCs/>
          <w:i/>
          <w:iCs/>
          <w:color w:val="8A5A00"/>
          <w:sz w:val="20"/>
          <w:szCs w:val="20"/>
        </w:rPr>
        <w:t xml:space="preserve">Note to team: </w:t>
      </w:r>
      <w:r>
        <w:rPr>
          <w:i/>
          <w:iCs/>
          <w:color w:val="8A5A00"/>
          <w:sz w:val="20"/>
          <w:szCs w:val="20"/>
        </w:rPr>
        <w:t xml:space="preserve">SRS validation against the team (Charity/Rikesh/Zubair) still needs to happen before this goes into the polished Assessment 1 submission — this draft is my consolidation pass only.</w:t>
      </w:r>
    </w:p>
    <w:p>
      <w:r>
        <w:br w:type="page"/>
      </w:r>
    </w:p>
    <w:p>
      <w:pPr>
        <w:pStyle w:val="Heading1"/>
        <w:spacing w:after="150" w:before="300"/>
      </w:pPr>
      <w:r>
        <w:rPr>
          <w:color w:val="000000"/>
        </w:rPr>
        <w:t xml:space="preserve">Week 5 — Feasibility, Risk &amp; Assessment 1 Portfolio</w:t>
      </w:r>
    </w:p>
    <w:p>
      <w:pPr>
        <w:spacing w:after="160"/>
      </w:pPr>
      <w:r>
        <w:rPr>
          <w:b w:val="false"/>
          <w:bCs w:val="false"/>
          <w:i w:val="false"/>
          <w:iCs w:val="false"/>
          <w:sz w:val="22"/>
          <w:szCs w:val="22"/>
        </w:rPr>
        <w:t xml:space="preserve">My task: compile and submit the full Assessment 1 portfolio.</w:t>
      </w:r>
    </w:p>
    <w:p>
      <w:pPr>
        <w:pStyle w:val="Heading2"/>
        <w:spacing w:after="120" w:before="250"/>
      </w:pPr>
      <w:r>
        <w:rPr>
          <w:color w:val="000000"/>
        </w:rPr>
        <w:t xml:space="preserve">5.1 Feasibility study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000000" w:val="clear"/>
          </w:tcPr>
          <w:p>
            <w:r>
              <w:rPr>
                <w:b/>
                <w:bCs/>
                <w:color w:val="FFFFFF"/>
                <w:sz w:val="19"/>
                <w:szCs w:val="19"/>
              </w:rPr>
              <w:t xml:space="preserve">Dimension</w:t>
            </w:r>
          </w:p>
        </w:tc>
        <w:tc>
          <w:tcPr>
            <w:tcW w:type="dxa" w:w="7150"/>
            <w:shd w:fill="000000" w:val="clear"/>
          </w:tcPr>
          <w:p>
            <w:r>
              <w:rPr>
                <w:b/>
                <w:bCs/>
                <w:color w:val="FFFFFF"/>
                <w:sz w:val="19"/>
                <w:szCs w:val="19"/>
              </w:rPr>
              <w:t xml:space="preserve">Assessment</w:t>
            </w:r>
          </w:p>
        </w:tc>
      </w:tr>
      <w:tr>
        <w:tc>
          <w:tcPr>
            <w:tcW w:type="dxa" w:w="2200"/>
          </w:tcPr>
          <w:p>
            <w:r>
              <w:rPr>
                <w:sz w:val="19"/>
                <w:szCs w:val="19"/>
              </w:rPr>
              <w:t xml:space="preserve">Technical</w:t>
            </w:r>
          </w:p>
        </w:tc>
        <w:tc>
          <w:tcPr>
            <w:tcW w:type="dxa" w:w="7150"/>
          </w:tcPr>
          <w:p>
            <w:r>
              <w:rPr>
                <w:sz w:val="19"/>
                <w:szCs w:val="19"/>
              </w:rPr>
              <w:t xml:space="preserve">Team covers the required skill areas from the Starter Kit (FHIR, HL7 v2, clinical terminology, testing) across four members; feasible with some upskilling on SNOMED CT-AU mapping specifically</w:t>
            </w:r>
          </w:p>
        </w:tc>
      </w:tr>
      <w:tr>
        <w:tc>
          <w:tcPr>
            <w:tcW w:type="dxa" w:w="2200"/>
          </w:tcPr>
          <w:p>
            <w:r>
              <w:rPr>
                <w:sz w:val="19"/>
                <w:szCs w:val="19"/>
              </w:rPr>
              <w:t xml:space="preserve">Schedule</w:t>
            </w:r>
          </w:p>
        </w:tc>
        <w:tc>
          <w:tcPr>
            <w:tcW w:type="dxa" w:w="7150"/>
          </w:tcPr>
          <w:p>
            <w:r>
              <w:rPr>
                <w:sz w:val="19"/>
                <w:szCs w:val="19"/>
              </w:rPr>
              <w:t xml:space="preserve">12-week Stage 1 roadmap with three assessment checkpoints (Weeks 5, 8–9, 12) gives clear, spaced milestones; feasible if Week 3–5 requirements work stays on schedule</w:t>
            </w:r>
          </w:p>
        </w:tc>
      </w:tr>
      <w:tr>
        <w:tc>
          <w:tcPr>
            <w:tcW w:type="dxa" w:w="2200"/>
          </w:tcPr>
          <w:p>
            <w:r>
              <w:rPr>
                <w:sz w:val="19"/>
                <w:szCs w:val="19"/>
              </w:rPr>
              <w:t xml:space="preserve">Resource</w:t>
            </w:r>
          </w:p>
        </w:tc>
        <w:tc>
          <w:tcPr>
            <w:tcW w:type="dxa" w:w="7150"/>
          </w:tcPr>
          <w:p>
            <w:r>
              <w:rPr>
                <w:sz w:val="19"/>
                <w:szCs w:val="19"/>
              </w:rPr>
              <w:t xml:space="preserve">Weekly mentor video call plus email/Drive access gives adequate support; feasible, contingent on timely mentor responses to open questions raised in Weeks 2–4</w:t>
            </w:r>
          </w:p>
        </w:tc>
      </w:tr>
      <w:tr>
        <w:tc>
          <w:tcPr>
            <w:tcW w:type="dxa" w:w="2200"/>
          </w:tcPr>
          <w:p>
            <w:r>
              <w:rPr>
                <w:sz w:val="19"/>
                <w:szCs w:val="19"/>
              </w:rPr>
              <w:t xml:space="preserve">Compliance</w:t>
            </w:r>
          </w:p>
        </w:tc>
        <w:tc>
          <w:tcPr>
            <w:tcW w:type="dxa" w:w="7150"/>
          </w:tcPr>
          <w:p>
            <w:r>
              <w:rPr>
                <w:sz w:val="19"/>
                <w:szCs w:val="19"/>
              </w:rPr>
              <w:t xml:space="preserve">Synthetic-only data significantly reduces privacy/compliance risk relative to using any real records; feasible and lower-risk than the production connector work FAZ Australia has already done</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5.2 Risk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50"/>
      </w:tblGrid>
      <w:tr>
        <w:trPr>
          <w:tblHeader/>
        </w:trPr>
        <w:tc>
          <w:tcPr>
            <w:tcW w:type="dxa" w:w="2600"/>
            <w:shd w:fill="000000" w:val="clear"/>
          </w:tcPr>
          <w:p>
            <w:r>
              <w:rPr>
                <w:b/>
                <w:bCs/>
                <w:color w:val="FFFFFF"/>
                <w:sz w:val="19"/>
                <w:szCs w:val="19"/>
              </w:rPr>
              <w:t xml:space="preserve">Risk</w:t>
            </w:r>
          </w:p>
        </w:tc>
        <w:tc>
          <w:tcPr>
            <w:tcW w:type="dxa" w:w="1300"/>
            <w:shd w:fill="000000" w:val="clear"/>
          </w:tcPr>
          <w:p>
            <w:r>
              <w:rPr>
                <w:b/>
                <w:bCs/>
                <w:color w:val="FFFFFF"/>
                <w:sz w:val="19"/>
                <w:szCs w:val="19"/>
              </w:rPr>
              <w:t xml:space="preserve">Likelihood</w:t>
            </w:r>
          </w:p>
        </w:tc>
        <w:tc>
          <w:tcPr>
            <w:tcW w:type="dxa" w:w="1300"/>
            <w:shd w:fill="000000" w:val="clear"/>
          </w:tcPr>
          <w:p>
            <w:r>
              <w:rPr>
                <w:b/>
                <w:bCs/>
                <w:color w:val="FFFFFF"/>
                <w:sz w:val="19"/>
                <w:szCs w:val="19"/>
              </w:rPr>
              <w:t xml:space="preserve">Impact</w:t>
            </w:r>
          </w:p>
        </w:tc>
        <w:tc>
          <w:tcPr>
            <w:tcW w:type="dxa" w:w="4150"/>
            <w:shd w:fill="000000" w:val="clear"/>
          </w:tcPr>
          <w:p>
            <w:r>
              <w:rPr>
                <w:b/>
                <w:bCs/>
                <w:color w:val="FFFFFF"/>
                <w:sz w:val="19"/>
                <w:szCs w:val="19"/>
              </w:rPr>
              <w:t xml:space="preserve">Mitigation</w:t>
            </w:r>
          </w:p>
        </w:tc>
      </w:tr>
      <w:tr>
        <w:tc>
          <w:tcPr>
            <w:tcW w:type="dxa" w:w="2600"/>
          </w:tcPr>
          <w:p>
            <w:r>
              <w:rPr>
                <w:sz w:val="19"/>
                <w:szCs w:val="19"/>
              </w:rPr>
              <w:t xml:space="preserve">Scope creep into Epic/MedicalDirector/My Health Record beyond agreed priority</w:t>
            </w:r>
          </w:p>
        </w:tc>
        <w:tc>
          <w:tcPr>
            <w:tcW w:type="dxa" w:w="1300"/>
          </w:tcPr>
          <w:p>
            <w:r>
              <w:rPr>
                <w:sz w:val="19"/>
                <w:szCs w:val="19"/>
              </w:rPr>
              <w:t xml:space="preserve">Medium</w:t>
            </w:r>
          </w:p>
        </w:tc>
        <w:tc>
          <w:tcPr>
            <w:tcW w:type="dxa" w:w="1300"/>
          </w:tcPr>
          <w:p>
            <w:r>
              <w:rPr>
                <w:sz w:val="19"/>
                <w:szCs w:val="19"/>
              </w:rPr>
              <w:t xml:space="preserve">Medium</w:t>
            </w:r>
          </w:p>
        </w:tc>
        <w:tc>
          <w:tcPr>
            <w:tcW w:type="dxa" w:w="4150"/>
          </w:tcPr>
          <w:p>
            <w:r>
              <w:rPr>
                <w:sz w:val="19"/>
                <w:szCs w:val="19"/>
              </w:rPr>
              <w:t xml:space="preserve">Confirm MoSCoW priorities with Atif in writing; revisit scope at Week 6/7 checkpoints</w:t>
            </w:r>
          </w:p>
        </w:tc>
      </w:tr>
      <w:tr>
        <w:tc>
          <w:tcPr>
            <w:tcW w:type="dxa" w:w="2600"/>
          </w:tcPr>
          <w:p>
            <w:r>
              <w:rPr>
                <w:sz w:val="19"/>
                <w:szCs w:val="19"/>
              </w:rPr>
              <w:t xml:space="preserve">Terminology mapping (SNOMED CT-AU to ICD-10-AM/MBS) proves more complex than scoped</w:t>
            </w:r>
          </w:p>
        </w:tc>
        <w:tc>
          <w:tcPr>
            <w:tcW w:type="dxa" w:w="1300"/>
          </w:tcPr>
          <w:p>
            <w:r>
              <w:rPr>
                <w:sz w:val="19"/>
                <w:szCs w:val="19"/>
              </w:rPr>
              <w:t xml:space="preserve">Medium</w:t>
            </w:r>
          </w:p>
        </w:tc>
        <w:tc>
          <w:tcPr>
            <w:tcW w:type="dxa" w:w="1300"/>
          </w:tcPr>
          <w:p>
            <w:r>
              <w:rPr>
                <w:sz w:val="19"/>
                <w:szCs w:val="19"/>
              </w:rPr>
              <w:t xml:space="preserve">High</w:t>
            </w:r>
          </w:p>
        </w:tc>
        <w:tc>
          <w:tcPr>
            <w:tcW w:type="dxa" w:w="4150"/>
          </w:tcPr>
          <w:p>
            <w:r>
              <w:rPr>
                <w:sz w:val="19"/>
                <w:szCs w:val="19"/>
              </w:rPr>
              <w:t xml:space="preserve">Flag early with mentor (already raised in Week 3/4 open items); timebox research, escalate if blocked</w:t>
            </w:r>
          </w:p>
        </w:tc>
      </w:tr>
      <w:tr>
        <w:tc>
          <w:tcPr>
            <w:tcW w:type="dxa" w:w="2600"/>
          </w:tcPr>
          <w:p>
            <w:r>
              <w:rPr>
                <w:sz w:val="19"/>
                <w:szCs w:val="19"/>
              </w:rPr>
              <w:t xml:space="preserve">Mentor availability slips during a busy commercial period for FAZ Australia</w:t>
            </w:r>
          </w:p>
        </w:tc>
        <w:tc>
          <w:tcPr>
            <w:tcW w:type="dxa" w:w="1300"/>
          </w:tcPr>
          <w:p>
            <w:r>
              <w:rPr>
                <w:sz w:val="19"/>
                <w:szCs w:val="19"/>
              </w:rPr>
              <w:t xml:space="preserve">Low</w:t>
            </w:r>
          </w:p>
        </w:tc>
        <w:tc>
          <w:tcPr>
            <w:tcW w:type="dxa" w:w="1300"/>
          </w:tcPr>
          <w:p>
            <w:r>
              <w:rPr>
                <w:sz w:val="19"/>
                <w:szCs w:val="19"/>
              </w:rPr>
              <w:t xml:space="preserve">Medium</w:t>
            </w:r>
          </w:p>
        </w:tc>
        <w:tc>
          <w:tcPr>
            <w:tcW w:type="dxa" w:w="4150"/>
          </w:tcPr>
          <w:p>
            <w:r>
              <w:rPr>
                <w:sz w:val="19"/>
                <w:szCs w:val="19"/>
              </w:rPr>
              <w:t xml:space="preserve">Keep async channels (email) open; document decisions from each call promptly</w:t>
            </w:r>
          </w:p>
        </w:tc>
      </w:tr>
      <w:tr>
        <w:tc>
          <w:tcPr>
            <w:tcW w:type="dxa" w:w="2600"/>
          </w:tcPr>
          <w:p>
            <w:r>
              <w:rPr>
                <w:sz w:val="19"/>
                <w:szCs w:val="19"/>
              </w:rPr>
              <w:t xml:space="preserve">Team skill gap in HL7 v2 specifically (less commonly taught than FHIR)</w:t>
            </w:r>
          </w:p>
        </w:tc>
        <w:tc>
          <w:tcPr>
            <w:tcW w:type="dxa" w:w="1300"/>
          </w:tcPr>
          <w:p>
            <w:r>
              <w:rPr>
                <w:sz w:val="19"/>
                <w:szCs w:val="19"/>
              </w:rPr>
              <w:t xml:space="preserve">Medium</w:t>
            </w:r>
          </w:p>
        </w:tc>
        <w:tc>
          <w:tcPr>
            <w:tcW w:type="dxa" w:w="1300"/>
          </w:tcPr>
          <w:p>
            <w:r>
              <w:rPr>
                <w:sz w:val="19"/>
                <w:szCs w:val="19"/>
              </w:rPr>
              <w:t xml:space="preserve">Medium</w:t>
            </w:r>
          </w:p>
        </w:tc>
        <w:tc>
          <w:tcPr>
            <w:tcW w:type="dxa" w:w="4150"/>
          </w:tcPr>
          <w:p>
            <w:r>
              <w:rPr>
                <w:sz w:val="19"/>
                <w:szCs w:val="19"/>
              </w:rPr>
              <w:t xml:space="preserve">Pair less-experienced members with Rikesh (Integration &amp; FHIR Specialist); allocate early study time</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5.3 Assessment 1 portfolio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50"/>
      </w:tblGrid>
      <w:tr>
        <w:trPr>
          <w:tblHeader/>
        </w:trPr>
        <w:tc>
          <w:tcPr>
            <w:tcW w:type="dxa" w:w="1400"/>
            <w:shd w:fill="000000" w:val="clear"/>
          </w:tcPr>
          <w:p>
            <w:r>
              <w:rPr>
                <w:b/>
                <w:bCs/>
                <w:color w:val="FFFFFF"/>
                <w:sz w:val="19"/>
                <w:szCs w:val="19"/>
              </w:rPr>
              <w:t xml:space="preserve">Week</w:t>
            </w:r>
          </w:p>
        </w:tc>
        <w:tc>
          <w:tcPr>
            <w:tcW w:type="dxa" w:w="4400"/>
            <w:shd w:fill="000000" w:val="clear"/>
          </w:tcPr>
          <w:p>
            <w:r>
              <w:rPr>
                <w:b/>
                <w:bCs/>
                <w:color w:val="FFFFFF"/>
                <w:sz w:val="19"/>
                <w:szCs w:val="19"/>
              </w:rPr>
              <w:t xml:space="preserve">Item</w:t>
            </w:r>
          </w:p>
        </w:tc>
        <w:tc>
          <w:tcPr>
            <w:tcW w:type="dxa" w:w="3550"/>
            <w:shd w:fill="000000" w:val="clear"/>
          </w:tcPr>
          <w:p>
            <w:r>
              <w:rPr>
                <w:b/>
                <w:bCs/>
                <w:color w:val="FFFFFF"/>
                <w:sz w:val="19"/>
                <w:szCs w:val="19"/>
              </w:rPr>
              <w:t xml:space="preserve">Status</w:t>
            </w:r>
          </w:p>
        </w:tc>
      </w:tr>
      <w:tr>
        <w:tc>
          <w:tcPr>
            <w:tcW w:type="dxa" w:w="1400"/>
          </w:tcPr>
          <w:p>
            <w:r>
              <w:rPr>
                <w:sz w:val="19"/>
                <w:szCs w:val="19"/>
              </w:rPr>
              <w:t xml:space="preserve">1</w:t>
            </w:r>
          </w:p>
        </w:tc>
        <w:tc>
          <w:tcPr>
            <w:tcW w:type="dxa" w:w="4400"/>
          </w:tcPr>
          <w:p>
            <w:r>
              <w:rPr>
                <w:sz w:val="19"/>
                <w:szCs w:val="19"/>
              </w:rPr>
              <w:t xml:space="preserve">Project charter &amp; stakeholder analysis</w:t>
            </w:r>
          </w:p>
        </w:tc>
        <w:tc>
          <w:tcPr>
            <w:tcW w:type="dxa" w:w="3550"/>
          </w:tcPr>
          <w:p>
            <w:r>
              <w:rPr>
                <w:sz w:val="19"/>
                <w:szCs w:val="19"/>
              </w:rPr>
              <w:t xml:space="preserve">Complete — submitted on main</w:t>
            </w:r>
          </w:p>
        </w:tc>
      </w:tr>
      <w:tr>
        <w:tc>
          <w:tcPr>
            <w:tcW w:type="dxa" w:w="1400"/>
          </w:tcPr>
          <w:p>
            <w:r>
              <w:rPr>
                <w:sz w:val="19"/>
                <w:szCs w:val="19"/>
              </w:rPr>
              <w:t xml:space="preserve">2</w:t>
            </w:r>
          </w:p>
        </w:tc>
        <w:tc>
          <w:tcPr>
            <w:tcW w:type="dxa" w:w="4400"/>
          </w:tcPr>
          <w:p>
            <w:r>
              <w:rPr>
                <w:sz w:val="19"/>
                <w:szCs w:val="19"/>
              </w:rPr>
              <w:t xml:space="preserve">Business &amp; problem analysis report</w:t>
            </w:r>
          </w:p>
        </w:tc>
        <w:tc>
          <w:tcPr>
            <w:tcW w:type="dxa" w:w="3550"/>
          </w:tcPr>
          <w:p>
            <w:r>
              <w:rPr>
                <w:sz w:val="19"/>
                <w:szCs w:val="19"/>
              </w:rPr>
              <w:t xml:space="preserve">Complete — submitted on main</w:t>
            </w:r>
          </w:p>
        </w:tc>
      </w:tr>
      <w:tr>
        <w:tc>
          <w:tcPr>
            <w:tcW w:type="dxa" w:w="1400"/>
          </w:tcPr>
          <w:p>
            <w:r>
              <w:rPr>
                <w:sz w:val="19"/>
                <w:szCs w:val="19"/>
              </w:rPr>
              <w:t xml:space="preserve">3</w:t>
            </w:r>
          </w:p>
        </w:tc>
        <w:tc>
          <w:tcPr>
            <w:tcW w:type="dxa" w:w="4400"/>
          </w:tcPr>
          <w:p>
            <w:r>
              <w:rPr>
                <w:sz w:val="19"/>
                <w:szCs w:val="19"/>
              </w:rPr>
              <w:t xml:space="preserve">Requirements elicitation report</w:t>
            </w:r>
          </w:p>
        </w:tc>
        <w:tc>
          <w:tcPr>
            <w:tcW w:type="dxa" w:w="3550"/>
          </w:tcPr>
          <w:p>
            <w:r>
              <w:rPr>
                <w:sz w:val="19"/>
                <w:szCs w:val="19"/>
              </w:rPr>
              <w:t xml:space="preserve">Draft — pending team validation</w:t>
            </w:r>
          </w:p>
        </w:tc>
      </w:tr>
      <w:tr>
        <w:tc>
          <w:tcPr>
            <w:tcW w:type="dxa" w:w="1400"/>
          </w:tcPr>
          <w:p>
            <w:r>
              <w:rPr>
                <w:sz w:val="19"/>
                <w:szCs w:val="19"/>
              </w:rPr>
              <w:t xml:space="preserve">4</w:t>
            </w:r>
          </w:p>
        </w:tc>
        <w:tc>
          <w:tcPr>
            <w:tcW w:type="dxa" w:w="4400"/>
          </w:tcPr>
          <w:p>
            <w:r>
              <w:rPr>
                <w:sz w:val="19"/>
                <w:szCs w:val="19"/>
              </w:rPr>
              <w:t xml:space="preserve">Software Requirements Specification (SRS)</w:t>
            </w:r>
          </w:p>
        </w:tc>
        <w:tc>
          <w:tcPr>
            <w:tcW w:type="dxa" w:w="3550"/>
          </w:tcPr>
          <w:p>
            <w:r>
              <w:rPr>
                <w:sz w:val="19"/>
                <w:szCs w:val="19"/>
              </w:rPr>
              <w:t xml:space="preserve">Draft — pending team validation</w:t>
            </w:r>
          </w:p>
        </w:tc>
      </w:tr>
      <w:tr>
        <w:tc>
          <w:tcPr>
            <w:tcW w:type="dxa" w:w="1400"/>
          </w:tcPr>
          <w:p>
            <w:r>
              <w:rPr>
                <w:sz w:val="19"/>
                <w:szCs w:val="19"/>
              </w:rPr>
              <w:t xml:space="preserve">5</w:t>
            </w:r>
          </w:p>
        </w:tc>
        <w:tc>
          <w:tcPr>
            <w:tcW w:type="dxa" w:w="4400"/>
          </w:tcPr>
          <w:p>
            <w:r>
              <w:rPr>
                <w:sz w:val="19"/>
                <w:szCs w:val="19"/>
              </w:rPr>
              <w:t xml:space="preserve">Feasibility study &amp; risk register</w:t>
            </w:r>
          </w:p>
        </w:tc>
        <w:tc>
          <w:tcPr>
            <w:tcW w:type="dxa" w:w="3550"/>
          </w:tcPr>
          <w:p>
            <w:r>
              <w:rPr>
                <w:sz w:val="19"/>
                <w:szCs w:val="19"/>
              </w:rPr>
              <w:t xml:space="preserve">Draft — this document</w:t>
            </w:r>
          </w:p>
        </w:tc>
      </w:tr>
    </w:tbl>
    <w:p>
      <w:pPr>
        <w:spacing w:after="160"/>
      </w:pPr>
      <w:r>
        <w:rPr>
          <w:b w:val="false"/>
          <w:bCs w:val="false"/>
          <w:i w:val="false"/>
          <w:iCs w:val="false"/>
          <w:sz w:val="22"/>
          <w:szCs w:val="22"/>
        </w:rPr>
        <w:t xml:space="preserve"/>
      </w:r>
    </w:p>
    <w:p>
      <w:pPr>
        <w:pStyle w:val="Heading2"/>
        <w:spacing w:after="120" w:before="250"/>
      </w:pPr>
      <w:r>
        <w:rPr>
          <w:color w:val="000000"/>
        </w:rPr>
        <w:t xml:space="preserve">5.4 Before submission</w:t>
      </w:r>
    </w:p>
    <w:p>
      <w:pPr>
        <w:pStyle w:val="ListParagraph"/>
        <w:numPr>
          <w:ilvl w:val="0"/>
          <w:numId w:val="1"/>
        </w:numPr>
        <w:spacing w:after="80"/>
      </w:pPr>
      <w:r>
        <w:t xml:space="preserve">Merge validated Weeks 3–5 drafts from feature branches into main via the team's review process (no direct commits to main, per the working agreement).</w:t>
      </w:r>
    </w:p>
    <w:p>
      <w:pPr>
        <w:pStyle w:val="ListParagraph"/>
        <w:numPr>
          <w:ilvl w:val="0"/>
          <w:numId w:val="1"/>
        </w:numPr>
        <w:spacing w:after="80"/>
      </w:pPr>
      <w:r>
        <w:t xml:space="preserve">Confirm Jira/GitHub evidence links are current and the academic supervisor has access.</w:t>
      </w:r>
    </w:p>
    <w:p>
      <w:pPr>
        <w:pStyle w:val="ListParagraph"/>
        <w:numPr>
          <w:ilvl w:val="0"/>
          <w:numId w:val="1"/>
        </w:numPr>
        <w:spacing w:after="80"/>
      </w:pPr>
      <w:r>
        <w:t xml:space="preserve">Final read-through against the ICT942 Assessment 1 rubric before submission.</w:t>
      </w:r>
    </w:p>
    <w:p>
      <w:pPr>
        <w:shd w:fill="FFF6E0" w:val="clear"/>
        <w:spacing w:after="200"/>
      </w:pPr>
      <w:r>
        <w:rPr>
          <w:b/>
          <w:bCs/>
          <w:i/>
          <w:iCs/>
          <w:color w:val="8A5A00"/>
          <w:sz w:val="20"/>
          <w:szCs w:val="20"/>
        </w:rPr>
        <w:t xml:space="preserve">Note to team: </w:t>
      </w:r>
      <w:r>
        <w:rPr>
          <w:i/>
          <w:iCs/>
          <w:color w:val="8A5A00"/>
          <w:sz w:val="20"/>
          <w:szCs w:val="20"/>
        </w:rPr>
        <w:t xml:space="preserve">Risk register and feasibility study are my first pass — worth a quick team review before Assessment 1 goes in, especially the likelihood/impact ratings.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2026-08-22T12:16:21.085Z</dcterms:created>
  <dcterms:modified xsi:type="dcterms:W3CDTF">2026-08-22T12:16:21.107Z</dcterms:modified>
</cp:coreProperties>
</file>

<file path=docProps/custom.xml><?xml version="1.0" encoding="utf-8"?>
<Properties xmlns="http://schemas.openxmlformats.org/officeDocument/2006/custom-properties" xmlns:vt="http://schemas.openxmlformats.org/officeDocument/2006/docPropsVTypes"/>
</file>