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2"/>
          <w:szCs w:val="32"/>
        </w:rPr>
        <w:t xml:space="preserve">ICT942 — Healthcare Integration &amp; Clinical Terminology Test Harness</w:t>
      </w:r>
    </w:p>
    <w:p>
      <w:r>
        <w:rPr>
          <w:b/>
          <w:bCs/>
          <w:sz w:val="26"/>
          <w:szCs w:val="26"/>
        </w:rPr>
        <w:t xml:space="preserve">Tutorial 3 · Week 3 Workshop</w:t>
      </w:r>
    </w:p>
    <w:p>
      <w:pPr>
        <w:spacing w:after="160"/>
      </w:pPr>
      <w:r>
        <w:t xml:space="preserve">Collect, validate and document stakeholder needs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9EAF7" w:val="clear"/>
          </w:tcPr>
          <w:p>
            <w:r>
              <w:rPr>
                <w:b/>
                <w:bCs/>
              </w:rPr>
              <w:t xml:space="preserve">Unit</w:t>
            </w:r>
          </w:p>
        </w:tc>
        <w:tc>
          <w:tcPr>
            <w:tcW w:type="dxa" w:w="2520"/>
            <w:shd w:fill="D9EAF7" w:val="clear"/>
          </w:tcPr>
          <w:p>
            <w:r>
              <w:rPr>
                <w:b/>
                <w:bCs/>
              </w:rPr>
              <w:t xml:space="preserve">Assessment</w:t>
            </w:r>
          </w:p>
        </w:tc>
        <w:tc>
          <w:tcPr>
            <w:tcW w:type="dxa" w:w="2520"/>
            <w:shd w:fill="D9EAF7" w:val="clear"/>
          </w:tcPr>
          <w:p>
            <w:r>
              <w:rPr>
                <w:b/>
                <w:bCs/>
              </w:rPr>
              <w:t xml:space="preserve">Mode</w:t>
            </w:r>
          </w:p>
        </w:tc>
        <w:tc>
          <w:tcPr>
            <w:tcW w:type="dxa" w:w="2520"/>
            <w:shd w:fill="D9EAF7" w:val="clear"/>
          </w:tcPr>
          <w:p>
            <w:r>
              <w:rPr>
                <w:b/>
                <w:bCs/>
              </w:rPr>
              <w:t xml:space="preserve">Submission</w:t>
            </w:r>
          </w:p>
        </w:tc>
      </w:tr>
      <w:tr>
        <w:tc>
          <w:tcPr>
            <w:tcW w:type="dxa" w:w="2520"/>
          </w:tcPr>
          <w:p>
            <w:r>
              <w:t xml:space="preserve">ICT942 — Healthcare Integration Test Harness</w:t>
            </w:r>
          </w:p>
        </w:tc>
        <w:tc>
          <w:tcPr>
            <w:tcW w:type="dxa" w:w="2520"/>
          </w:tcPr>
          <w:p>
            <w:r>
              <w:t xml:space="preserve">Assessment 1 Portfolio</w:t>
            </w:r>
          </w:p>
        </w:tc>
        <w:tc>
          <w:tcPr>
            <w:tcW w:type="dxa" w:w="2520"/>
          </w:tcPr>
          <w:p>
            <w:r>
              <w:t xml:space="preserve">Group + Individual</w:t>
            </w:r>
          </w:p>
        </w:tc>
        <w:tc>
          <w:tcPr>
            <w:tcW w:type="dxa" w:w="2520"/>
          </w:tcPr>
          <w:p>
            <w:r>
              <w:t xml:space="preserve">Weekly Teams evidence + Week 5 report</w:t>
            </w:r>
          </w:p>
        </w:tc>
      </w:tr>
    </w:tbl>
    <w:p/>
    <w:p>
      <w:pPr>
        <w:pStyle w:val="Heading1"/>
      </w:pPr>
      <w:r>
        <w:rPr>
          <w:b/>
          <w:bCs/>
        </w:rPr>
        <w:t xml:space="preserve">Part 1 — Elicitation planning</w:t>
      </w:r>
    </w:p>
    <w:p>
      <w:pPr>
        <w:spacing w:after="160"/>
      </w:pPr>
      <w:r>
        <w:t xml:space="preserve">Two elicitation methods were selected for this stage, each justified against the project context:</w:t>
      </w:r>
    </w:p>
    <w:p>
      <w:r>
        <w:rPr>
          <w:b/>
          <w:bCs/>
        </w:rPr>
        <w:t xml:space="preserve">1. Document review</w:t>
      </w:r>
    </w:p>
    <w:p>
      <w:pPr>
        <w:spacing w:after="160"/>
      </w:pPr>
      <w:r>
        <w:t xml:space="preserve">The team reviewed the mentor-provided source documents — the CIHE project brief, the MedTalk Final Report, Implementation Guide, Connector Catalogue and Deployment Playbook, and the Starter Kit — as the primary evidence source. This method suits a technical integration project because the scope, standards (FHIR, SNOMED CT-AU, ICD-10-AM, MBS) and connector maturity levels are already documented by the industry partner, so document review establishes a verified baseline before spending scarce mentor time confirming what is already written down.</w:t>
      </w:r>
    </w:p>
    <w:p>
      <w:r>
        <w:rPr>
          <w:b/>
          <w:bCs/>
        </w:rPr>
        <w:t xml:space="preserve">2. Stakeholder interview (mock, with industry mentor)</w:t>
      </w:r>
    </w:p>
    <w:p>
      <w:pPr>
        <w:spacing w:after="160"/>
      </w:pPr>
      <w:r>
        <w:t xml:space="preserve">A structured interview with Atif Nisar (Co-Founder/CTO, FAZ Australia) was planned to clarify priorities, ambiguities and constraints not fully captured in the documents — such as which connectors matter most this semester and what "acceptable" failure-handling behaviour looks like. Interview is the right method here because Atif is the single technical authority for MedTalk Connect and can give direct, current answers that a static document cannot, including trade-offs the team cannot infer on its own.</w:t>
      </w:r>
    </w:p>
    <w:p>
      <w:r>
        <w:rPr>
          <w:b/>
          <w:bCs/>
        </w:rPr>
        <w:t xml:space="preserve">3. (Supporting) Technical documentation review</w:t>
      </w:r>
    </w:p>
    <w:p>
      <w:pPr>
        <w:spacing w:after="160"/>
      </w:pPr>
      <w:r>
        <w:t xml:space="preserve">The published FHIR AU Core / Halo Connect API and SNOMED CT-AU terminology specifications were also reviewed as a supporting, lower-priority method, since they define hard technical constraints (data formats, code systems) rather than stakeholder preferences.</w:t>
      </w:r>
    </w:p>
    <w:p>
      <w:pPr>
        <w:pStyle w:val="Heading1"/>
      </w:pPr>
      <w:r>
        <w:rPr>
          <w:b/>
          <w:bCs/>
        </w:rPr>
        <w:t xml:space="preserve">Part 2 — Group tasks</w:t>
      </w:r>
    </w:p>
    <w:p>
      <w:pPr>
        <w:pStyle w:val="Heading2"/>
      </w:pPr>
      <w:r>
        <w:rPr>
          <w:b/>
          <w:bCs/>
        </w:rPr>
        <w:t xml:space="preserve">Task 3.1 — Interview / workshop guide</w:t>
      </w:r>
    </w:p>
    <w:p>
      <w:pPr>
        <w:spacing w:after="160"/>
      </w:pPr>
      <w:r>
        <w:t xml:space="preserve">Prepared for the mock interview with the industry mentor (Atif Nisar):</w:t>
      </w:r>
    </w:p>
    <w:p>
      <w:pPr>
        <w:pStyle w:val="ListParagraph"/>
        <w:numPr>
          <w:ilvl w:val="0"/>
          <w:numId w:val="2"/>
        </w:numPr>
      </w:pPr>
      <w:r>
        <w:t xml:space="preserve">Can you walk us through what happens today, step by step, when MedTalk sends a consultation note to a clinic's Best Practice system?</w:t>
      </w:r>
    </w:p>
    <w:p>
      <w:pPr>
        <w:pStyle w:val="ListParagraph"/>
        <w:numPr>
          <w:ilvl w:val="0"/>
          <w:numId w:val="2"/>
        </w:numPr>
      </w:pPr>
      <w:r>
        <w:t xml:space="preserve">What are the most common integration failures you currently see or worry about (e.g. slow responses, malformed data, dropped connections)?</w:t>
      </w:r>
    </w:p>
    <w:p>
      <w:pPr>
        <w:pStyle w:val="ListParagraph"/>
        <w:numPr>
          <w:ilvl w:val="0"/>
          <w:numId w:val="2"/>
        </w:numPr>
      </w:pPr>
      <w:r>
        <w:t xml:space="preserve">Who are the intended users of the test harness once it's built — your engineers, a QA team, someone else?</w:t>
      </w:r>
    </w:p>
    <w:p>
      <w:pPr>
        <w:pStyle w:val="ListParagraph"/>
        <w:numPr>
          <w:ilvl w:val="0"/>
          <w:numId w:val="2"/>
        </w:numPr>
      </w:pPr>
      <w:r>
        <w:t xml:space="preserve">What patient or clinical data, if any, is ever acceptable to use in testing, and what must never appear in test data?</w:t>
      </w:r>
    </w:p>
    <w:p>
      <w:pPr>
        <w:pStyle w:val="ListParagraph"/>
        <w:numPr>
          <w:ilvl w:val="0"/>
          <w:numId w:val="2"/>
        </w:numPr>
      </w:pPr>
      <w:r>
        <w:t xml:space="preserve">Who should be able to access the test harness and its results, and are there any access restrictions we should design for?</w:t>
      </w:r>
    </w:p>
    <w:p>
      <w:pPr>
        <w:pStyle w:val="ListParagraph"/>
        <w:numPr>
          <w:ilvl w:val="0"/>
          <w:numId w:val="2"/>
        </w:numPr>
      </w:pPr>
      <w:r>
        <w:t xml:space="preserve">Are there specific privacy, security or regulatory requirements (e.g. Australian Privacy Principles, My Health Records Act) the test harness itself must respect?</w:t>
      </w:r>
    </w:p>
    <w:p>
      <w:pPr>
        <w:pStyle w:val="ListParagraph"/>
        <w:numPr>
          <w:ilvl w:val="0"/>
          <w:numId w:val="2"/>
        </w:numPr>
      </w:pPr>
      <w:r>
        <w:t xml:space="preserve">How fast does an integration response need to be before you'd consider it "too slow" in production?</w:t>
      </w:r>
    </w:p>
    <w:p>
      <w:pPr>
        <w:pStyle w:val="ListParagraph"/>
        <w:numPr>
          <w:ilvl w:val="0"/>
          <w:numId w:val="2"/>
        </w:numPr>
      </w:pPr>
      <w:r>
        <w:t xml:space="preserve">Which connectors matter most this semester — is it fair to treat Oracle Health Millennium and Best Practice/Halo Connect as production-grade priorities and Epic as sandbox-only?</w:t>
      </w:r>
    </w:p>
    <w:p>
      <w:pPr>
        <w:pStyle w:val="ListParagraph"/>
        <w:numPr>
          <w:ilvl w:val="0"/>
          <w:numId w:val="2"/>
        </w:numPr>
      </w:pPr>
      <w:r>
        <w:t xml:space="preserve">What constraints should we design around — timeline, tooling, team skill level, or anything FAZ Australia can/can't provide (e.g. sandbox credentials)?</w:t>
      </w:r>
    </w:p>
    <w:p>
      <w:pPr>
        <w:pStyle w:val="ListParagraph"/>
        <w:numPr>
          <w:ilvl w:val="0"/>
          <w:numId w:val="2"/>
        </w:numPr>
      </w:pPr>
      <w:r>
        <w:t xml:space="preserve">What would make you, as the client, confident the test harness is "done" and trustworthy for Stage 2 build?</w:t>
      </w:r>
    </w:p>
    <w:p>
      <w:pPr>
        <w:pStyle w:val="ListParagraph"/>
        <w:numPr>
          <w:ilvl w:val="0"/>
          <w:numId w:val="2"/>
        </w:numPr>
      </w:pPr>
      <w:r>
        <w:t xml:space="preserve">How should we report test results back to you — format, frequency, level of technical detail?</w:t>
      </w:r>
    </w:p>
    <w:p>
      <w:pPr>
        <w:pStyle w:val="ListParagraph"/>
        <w:numPr>
          <w:ilvl w:val="0"/>
          <w:numId w:val="2"/>
        </w:numPr>
      </w:pPr>
      <w:r>
        <w:t xml:space="preserve">Are there known edge cases in SNOMED CT-AU → ICD-10-AM/MBS mapping that have caused problems before?</w:t>
      </w:r>
    </w:p>
    <w:p/>
    <w:p>
      <w:pPr>
        <w:pStyle w:val="Heading2"/>
      </w:pPr>
      <w:r>
        <w:rPr>
          <w:b/>
          <w:bCs/>
        </w:rPr>
        <w:t xml:space="preserve">Task 3.2 — Requirement register</w:t>
      </w:r>
    </w:p>
    <w:p>
      <w:pPr>
        <w:pStyle w:val="Heading3"/>
      </w:pPr>
      <w:r>
        <w:rPr>
          <w:b/>
          <w:bCs/>
        </w:rPr>
        <w:t xml:space="preserve">Stakeholder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4200"/>
        <w:gridCol w:w="1100"/>
        <w:gridCol w:w="1600"/>
        <w:gridCol w:w="900"/>
        <w:gridCol w:w="1720"/>
        <w:gridCol w:w="700"/>
      </w:tblGrid>
      <w:tr>
        <w:trPr>
          <w:tblHeader/>
        </w:trPr>
        <w:tc>
          <w:tcPr>
            <w:tcW w:type="dxa" w:w="560"/>
            <w:shd w:fill="D9EAF7" w:val="clear"/>
          </w:tcPr>
          <w:p>
            <w:r>
              <w:rPr>
                <w:b/>
                <w:bCs/>
              </w:rPr>
              <w:t xml:space="preserve">ID</w:t>
            </w:r>
          </w:p>
        </w:tc>
        <w:tc>
          <w:tcPr>
            <w:tcW w:type="dxa" w:w="4200"/>
            <w:shd w:fill="D9EAF7" w:val="clear"/>
          </w:tcPr>
          <w:p>
            <w:r>
              <w:rPr>
                <w:b/>
                <w:bCs/>
              </w:rPr>
              <w:t xml:space="preserve">Requirement</w:t>
            </w:r>
          </w:p>
        </w:tc>
        <w:tc>
          <w:tcPr>
            <w:tcW w:type="dxa" w:w="1100"/>
            <w:shd w:fill="D9EAF7" w:val="clear"/>
          </w:tcPr>
          <w:p>
            <w:r>
              <w:rPr>
                <w:b/>
                <w:bCs/>
              </w:rPr>
              <w:t xml:space="preserve">Type</w:t>
            </w:r>
          </w:p>
        </w:tc>
        <w:tc>
          <w:tcPr>
            <w:tcW w:type="dxa" w:w="1600"/>
            <w:shd w:fill="D9EAF7" w:val="clear"/>
          </w:tcPr>
          <w:p>
            <w:r>
              <w:rPr>
                <w:b/>
                <w:bCs/>
              </w:rPr>
              <w:t xml:space="preserve">Source</w:t>
            </w:r>
          </w:p>
        </w:tc>
        <w:tc>
          <w:tcPr>
            <w:tcW w:type="dxa" w:w="900"/>
            <w:shd w:fill="D9EAF7" w:val="clear"/>
          </w:tcPr>
          <w:p>
            <w:r>
              <w:rPr>
                <w:b/>
                <w:bCs/>
              </w:rPr>
              <w:t xml:space="preserve">Priority</w:t>
            </w:r>
          </w:p>
        </w:tc>
        <w:tc>
          <w:tcPr>
            <w:tcW w:type="dxa" w:w="1720"/>
            <w:shd w:fill="D9EAF7" w:val="clear"/>
          </w:tcPr>
          <w:p>
            <w:r>
              <w:rPr>
                <w:b/>
                <w:bCs/>
              </w:rPr>
              <w:t xml:space="preserve">Validation method</w:t>
            </w:r>
          </w:p>
        </w:tc>
        <w:tc>
          <w:tcPr>
            <w:tcW w:type="dxa" w:w="700"/>
            <w:shd w:fill="D9EAF7" w:val="clear"/>
          </w:tcPr>
          <w:p>
            <w:r>
              <w:rPr>
                <w:b/>
                <w:bCs/>
              </w:rPr>
              <w:t xml:space="preserve">Status</w:t>
            </w:r>
          </w:p>
        </w:tc>
      </w:tr>
      <w:tr>
        <w:tc>
          <w:tcPr>
            <w:tcW w:type="dxa" w:w="560"/>
          </w:tcPr>
          <w:p>
            <w:r>
              <w:t xml:space="preserve">SR1</w:t>
            </w:r>
          </w:p>
        </w:tc>
        <w:tc>
          <w:tcPr>
            <w:tcW w:type="dxa" w:w="4200"/>
          </w:tcPr>
          <w:p>
            <w:r>
              <w:t xml:space="preserve">FAZ Australia needs the test harness to validate FHIR-based data exchange between MedTalk and Best Practice/Halo Connect without using real patient data.</w:t>
            </w:r>
          </w:p>
        </w:tc>
        <w:tc>
          <w:tcPr>
            <w:tcW w:type="dxa" w:w="1100"/>
          </w:tcPr>
          <w:p>
            <w:r>
              <w:t xml:space="preserve">Stakeholder</w:t>
            </w:r>
          </w:p>
        </w:tc>
        <w:tc>
          <w:tcPr>
            <w:tcW w:type="dxa" w:w="1600"/>
          </w:tcPr>
          <w:p>
            <w:r>
              <w:t xml:space="preserve">Atif Nisar (mentor)</w:t>
            </w:r>
          </w:p>
        </w:tc>
        <w:tc>
          <w:tcPr>
            <w:tcW w:type="dxa" w:w="900"/>
          </w:tcPr>
          <w:p>
            <w:r>
              <w:t xml:space="preserve">Must</w:t>
            </w:r>
          </w:p>
        </w:tc>
        <w:tc>
          <w:tcPr>
            <w:tcW w:type="dxa" w:w="1720"/>
          </w:tcPr>
          <w:p>
            <w:r>
              <w:t xml:space="preserve">Mentor review of harness design against Halo Connect FHIR spec</w:t>
            </w:r>
          </w:p>
        </w:tc>
        <w:tc>
          <w:tcPr>
            <w:tcW w:type="dxa" w:w="700"/>
          </w:tcPr>
          <w:p>
            <w:r>
              <w:t xml:space="preserve">Draft</w:t>
            </w:r>
          </w:p>
        </w:tc>
      </w:tr>
      <w:tr>
        <w:tc>
          <w:tcPr>
            <w:tcW w:type="dxa" w:w="560"/>
          </w:tcPr>
          <w:p>
            <w:r>
              <w:t xml:space="preserve">SR2</w:t>
            </w:r>
          </w:p>
        </w:tc>
        <w:tc>
          <w:tcPr>
            <w:tcW w:type="dxa" w:w="4200"/>
          </w:tcPr>
          <w:p>
            <w:r>
              <w:t xml:space="preserve">The MedTalk engineering team needs a documented, repeatable test harness they can run before deploying integration changes.</w:t>
            </w:r>
          </w:p>
        </w:tc>
        <w:tc>
          <w:tcPr>
            <w:tcW w:type="dxa" w:w="1100"/>
          </w:tcPr>
          <w:p>
            <w:r>
              <w:t xml:space="preserve">Stakeholder</w:t>
            </w:r>
          </w:p>
        </w:tc>
        <w:tc>
          <w:tcPr>
            <w:tcW w:type="dxa" w:w="1600"/>
          </w:tcPr>
          <w:p>
            <w:r>
              <w:t xml:space="preserve">Atif Nisar (mentor)</w:t>
            </w:r>
          </w:p>
        </w:tc>
        <w:tc>
          <w:tcPr>
            <w:tcW w:type="dxa" w:w="900"/>
          </w:tcPr>
          <w:p>
            <w:r>
              <w:t xml:space="preserve">Should</w:t>
            </w:r>
          </w:p>
        </w:tc>
        <w:tc>
          <w:tcPr>
            <w:tcW w:type="dxa" w:w="1720"/>
          </w:tcPr>
          <w:p>
            <w:r>
              <w:t xml:space="preserve">Engineering team walkthrough / demo</w:t>
            </w:r>
          </w:p>
        </w:tc>
        <w:tc>
          <w:tcPr>
            <w:tcW w:type="dxa" w:w="700"/>
          </w:tcPr>
          <w:p>
            <w:r>
              <w:t xml:space="preserve">Draft</w:t>
            </w:r>
          </w:p>
        </w:tc>
      </w:tr>
      <w:tr>
        <w:tc>
          <w:tcPr>
            <w:tcW w:type="dxa" w:w="560"/>
          </w:tcPr>
          <w:p>
            <w:r>
              <w:t xml:space="preserve">SR3</w:t>
            </w:r>
          </w:p>
        </w:tc>
        <w:tc>
          <w:tcPr>
            <w:tcW w:type="dxa" w:w="4200"/>
          </w:tcPr>
          <w:p>
            <w:r>
              <w:t xml:space="preserve">The academic supervisor needs deliverables (architecture diagram, test-data plan, test plan) that meet the ICT942 rubric and academic standards.</w:t>
            </w:r>
          </w:p>
        </w:tc>
        <w:tc>
          <w:tcPr>
            <w:tcW w:type="dxa" w:w="1100"/>
          </w:tcPr>
          <w:p>
            <w:r>
              <w:t xml:space="preserve">Stakeholder</w:t>
            </w:r>
          </w:p>
        </w:tc>
        <w:tc>
          <w:tcPr>
            <w:tcW w:type="dxa" w:w="1600"/>
          </w:tcPr>
          <w:p>
            <w:r>
              <w:t xml:space="preserve">Md Ashraf Uddin (supervisor)</w:t>
            </w:r>
          </w:p>
        </w:tc>
        <w:tc>
          <w:tcPr>
            <w:tcW w:type="dxa" w:w="900"/>
          </w:tcPr>
          <w:p>
            <w:r>
              <w:t xml:space="preserve">Should</w:t>
            </w:r>
          </w:p>
        </w:tc>
        <w:tc>
          <w:tcPr>
            <w:tcW w:type="dxa" w:w="1720"/>
          </w:tcPr>
          <w:p>
            <w:r>
              <w:t xml:space="preserve">Supervisor review against rubric checklist</w:t>
            </w:r>
          </w:p>
        </w:tc>
        <w:tc>
          <w:tcPr>
            <w:tcW w:type="dxa" w:w="700"/>
          </w:tcPr>
          <w:p>
            <w:r>
              <w:t xml:space="preserve">Draft</w:t>
            </w:r>
          </w:p>
        </w:tc>
      </w:tr>
      <w:tr>
        <w:tc>
          <w:tcPr>
            <w:tcW w:type="dxa" w:w="560"/>
          </w:tcPr>
          <w:p>
            <w:r>
              <w:t xml:space="preserve">SR4</w:t>
            </w:r>
          </w:p>
        </w:tc>
        <w:tc>
          <w:tcPr>
            <w:tcW w:type="dxa" w:w="4200"/>
          </w:tcPr>
          <w:p>
            <w:r>
              <w:t xml:space="preserve">FAZ Australia needs the environment to catch SNOMED CT-AU → ICD-10-AM/MBS mapping errors before real clinics are affected.</w:t>
            </w:r>
          </w:p>
        </w:tc>
        <w:tc>
          <w:tcPr>
            <w:tcW w:type="dxa" w:w="1100"/>
          </w:tcPr>
          <w:p>
            <w:r>
              <w:t xml:space="preserve">Stakeholder</w:t>
            </w:r>
          </w:p>
        </w:tc>
        <w:tc>
          <w:tcPr>
            <w:tcW w:type="dxa" w:w="1600"/>
          </w:tcPr>
          <w:p>
            <w:r>
              <w:t xml:space="preserve">Project brief</w:t>
            </w:r>
          </w:p>
        </w:tc>
        <w:tc>
          <w:tcPr>
            <w:tcW w:type="dxa" w:w="900"/>
          </w:tcPr>
          <w:p>
            <w:r>
              <w:t xml:space="preserve">Must</w:t>
            </w:r>
          </w:p>
        </w:tc>
        <w:tc>
          <w:tcPr>
            <w:tcW w:type="dxa" w:w="1720"/>
          </w:tcPr>
          <w:p>
            <w:r>
              <w:t xml:space="preserve">Demonstrated mapping test cases with pass/fail report</w:t>
            </w:r>
          </w:p>
        </w:tc>
        <w:tc>
          <w:tcPr>
            <w:tcW w:type="dxa" w:w="700"/>
          </w:tcPr>
          <w:p>
            <w:r>
              <w:t xml:space="preserve">Draft</w:t>
            </w:r>
          </w:p>
        </w:tc>
      </w:tr>
      <w:tr>
        <w:tc>
          <w:tcPr>
            <w:tcW w:type="dxa" w:w="560"/>
          </w:tcPr>
          <w:p>
            <w:r>
              <w:t xml:space="preserve">SR5</w:t>
            </w:r>
          </w:p>
        </w:tc>
        <w:tc>
          <w:tcPr>
            <w:tcW w:type="dxa" w:w="4200"/>
          </w:tcPr>
          <w:p>
            <w:r>
              <w:t xml:space="preserve">FAZ Australia needs confidence the test environment fails safely and predictably when a connection is slow, malformed or dropped.</w:t>
            </w:r>
          </w:p>
        </w:tc>
        <w:tc>
          <w:tcPr>
            <w:tcW w:type="dxa" w:w="1100"/>
          </w:tcPr>
          <w:p>
            <w:r>
              <w:t xml:space="preserve">Stakeholder</w:t>
            </w:r>
          </w:p>
        </w:tc>
        <w:tc>
          <w:tcPr>
            <w:tcW w:type="dxa" w:w="1600"/>
          </w:tcPr>
          <w:p>
            <w:r>
              <w:t xml:space="preserve">Project brief</w:t>
            </w:r>
          </w:p>
        </w:tc>
        <w:tc>
          <w:tcPr>
            <w:tcW w:type="dxa" w:w="900"/>
          </w:tcPr>
          <w:p>
            <w:r>
              <w:t xml:space="preserve">Must</w:t>
            </w:r>
          </w:p>
        </w:tc>
        <w:tc>
          <w:tcPr>
            <w:tcW w:type="dxa" w:w="1720"/>
          </w:tcPr>
          <w:p>
            <w:r>
              <w:t xml:space="preserve">Fault-injection scenarios executed with documented expected behaviour</w:t>
            </w:r>
          </w:p>
        </w:tc>
        <w:tc>
          <w:tcPr>
            <w:tcW w:type="dxa" w:w="700"/>
          </w:tcPr>
          <w:p>
            <w:r>
              <w:t xml:space="preserve">Draft</w:t>
            </w:r>
          </w:p>
        </w:tc>
      </w:tr>
      <w:tr>
        <w:tc>
          <w:tcPr>
            <w:tcW w:type="dxa" w:w="560"/>
          </w:tcPr>
          <w:p>
            <w:r>
              <w:t xml:space="preserve">SR6</w:t>
            </w:r>
          </w:p>
        </w:tc>
        <w:tc>
          <w:tcPr>
            <w:tcW w:type="dxa" w:w="4200"/>
          </w:tcPr>
          <w:p>
            <w:r>
              <w:t xml:space="preserve">The team needs a connector prioritisation so testing effort matches connector maturity (production-grade vs sandbox-only).</w:t>
            </w:r>
          </w:p>
        </w:tc>
        <w:tc>
          <w:tcPr>
            <w:tcW w:type="dxa" w:w="1100"/>
          </w:tcPr>
          <w:p>
            <w:r>
              <w:t xml:space="preserve">Stakeholder</w:t>
            </w:r>
          </w:p>
        </w:tc>
        <w:tc>
          <w:tcPr>
            <w:tcW w:type="dxa" w:w="1600"/>
          </w:tcPr>
          <w:p>
            <w:r>
              <w:t xml:space="preserve">Connector Catalogue (MEDTAL_3)</w:t>
            </w:r>
          </w:p>
        </w:tc>
        <w:tc>
          <w:tcPr>
            <w:tcW w:type="dxa" w:w="900"/>
          </w:tcPr>
          <w:p>
            <w:r>
              <w:t xml:space="preserve">Should</w:t>
            </w:r>
          </w:p>
        </w:tc>
        <w:tc>
          <w:tcPr>
            <w:tcW w:type="dxa" w:w="1720"/>
          </w:tcPr>
          <w:p>
            <w:r>
              <w:t xml:space="preserve">Connector maturity matrix reviewed and agreed with mentor</w:t>
            </w:r>
          </w:p>
        </w:tc>
        <w:tc>
          <w:tcPr>
            <w:tcW w:type="dxa" w:w="700"/>
          </w:tcPr>
          <w:p>
            <w:r>
              <w:t xml:space="preserve">Draft</w:t>
            </w:r>
          </w:p>
        </w:tc>
      </w:tr>
      <w:tr>
        <w:tc>
          <w:tcPr>
            <w:tcW w:type="dxa" w:w="560"/>
          </w:tcPr>
          <w:p>
            <w:r>
              <w:t xml:space="preserve">SR7</w:t>
            </w:r>
          </w:p>
        </w:tc>
        <w:tc>
          <w:tcPr>
            <w:tcW w:type="dxa" w:w="4200"/>
          </w:tcPr>
          <w:p>
            <w:r>
              <w:t xml:space="preserve">The supervisor and Readygrad need assurance that no real patient data is ever used, for ethical and compliance reasons.</w:t>
            </w:r>
          </w:p>
        </w:tc>
        <w:tc>
          <w:tcPr>
            <w:tcW w:type="dxa" w:w="1100"/>
          </w:tcPr>
          <w:p>
            <w:r>
              <w:t xml:space="preserve">Stakeholder</w:t>
            </w:r>
          </w:p>
        </w:tc>
        <w:tc>
          <w:tcPr>
            <w:tcW w:type="dxa" w:w="1600"/>
          </w:tcPr>
          <w:p>
            <w:r>
              <w:t xml:space="preserve">Project brief / Readygrad WIL terms</w:t>
            </w:r>
          </w:p>
        </w:tc>
        <w:tc>
          <w:tcPr>
            <w:tcW w:type="dxa" w:w="900"/>
          </w:tcPr>
          <w:p>
            <w:r>
              <w:t xml:space="preserve">Must</w:t>
            </w:r>
          </w:p>
        </w:tc>
        <w:tc>
          <w:tcPr>
            <w:tcW w:type="dxa" w:w="1720"/>
          </w:tcPr>
          <w:p>
            <w:r>
              <w:t xml:space="preserve">Data governance statement + audit confirming synthetic-only records</w:t>
            </w:r>
          </w:p>
        </w:tc>
        <w:tc>
          <w:tcPr>
            <w:tcW w:type="dxa" w:w="700"/>
          </w:tcPr>
          <w:p>
            <w:r>
              <w:t xml:space="preserve">Draft</w:t>
            </w:r>
          </w:p>
        </w:tc>
      </w:tr>
      <w:tr>
        <w:tc>
          <w:tcPr>
            <w:tcW w:type="dxa" w:w="560"/>
          </w:tcPr>
          <w:p>
            <w:r>
              <w:t xml:space="preserve">SR8</w:t>
            </w:r>
          </w:p>
        </w:tc>
        <w:tc>
          <w:tcPr>
            <w:tcW w:type="dxa" w:w="4200"/>
          </w:tcPr>
          <w:p>
            <w:r>
              <w:t xml:space="preserve">FAZ Australia needs test coverage and results reported clearly enough for non-technical stakeholders to understand.</w:t>
            </w:r>
          </w:p>
        </w:tc>
        <w:tc>
          <w:tcPr>
            <w:tcW w:type="dxa" w:w="1100"/>
          </w:tcPr>
          <w:p>
            <w:r>
              <w:t xml:space="preserve">Stakeholder</w:t>
            </w:r>
          </w:p>
        </w:tc>
        <w:tc>
          <w:tcPr>
            <w:tcW w:type="dxa" w:w="1600"/>
          </w:tcPr>
          <w:p>
            <w:r>
              <w:t xml:space="preserve">Atif Nisar (mentor)</w:t>
            </w:r>
          </w:p>
        </w:tc>
        <w:tc>
          <w:tcPr>
            <w:tcW w:type="dxa" w:w="900"/>
          </w:tcPr>
          <w:p>
            <w:r>
              <w:t xml:space="preserve">Should</w:t>
            </w:r>
          </w:p>
        </w:tc>
        <w:tc>
          <w:tcPr>
            <w:tcW w:type="dxa" w:w="1720"/>
          </w:tcPr>
          <w:p>
            <w:r>
              <w:t xml:space="preserve">Sample summary report reviewed with mentor for clarity</w:t>
            </w:r>
          </w:p>
        </w:tc>
        <w:tc>
          <w:tcPr>
            <w:tcW w:type="dxa" w:w="700"/>
          </w:tcPr>
          <w:p>
            <w:r>
              <w:t xml:space="preserve">Draft</w:t>
            </w:r>
          </w:p>
        </w:tc>
      </w:tr>
    </w:tbl>
    <w:p/>
    <w:p>
      <w:pPr>
        <w:pStyle w:val="Heading3"/>
      </w:pPr>
      <w:r>
        <w:rPr>
          <w:b/>
          <w:bCs/>
        </w:rPr>
        <w:t xml:space="preserve">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4000"/>
        <w:gridCol w:w="1550"/>
        <w:gridCol w:w="750"/>
        <w:gridCol w:w="2020"/>
        <w:gridCol w:w="700"/>
        <w:gridCol w:w="500"/>
      </w:tblGrid>
      <w:tr>
        <w:trPr>
          <w:tblHeader/>
        </w:trPr>
        <w:tc>
          <w:tcPr>
            <w:tcW w:type="dxa" w:w="560"/>
            <w:shd w:fill="D9EAF7" w:val="clear"/>
          </w:tcPr>
          <w:p>
            <w:r>
              <w:rPr>
                <w:b/>
                <w:bCs/>
              </w:rPr>
              <w:t xml:space="preserve">ID</w:t>
            </w:r>
          </w:p>
        </w:tc>
        <w:tc>
          <w:tcPr>
            <w:tcW w:type="dxa" w:w="4000"/>
            <w:shd w:fill="D9EAF7" w:val="clear"/>
          </w:tcPr>
          <w:p>
            <w:r>
              <w:rPr>
                <w:b/>
                <w:bCs/>
              </w:rPr>
              <w:t xml:space="preserve">Requirement</w:t>
            </w:r>
          </w:p>
        </w:tc>
        <w:tc>
          <w:tcPr>
            <w:tcW w:type="dxa" w:w="1550"/>
            <w:shd w:fill="D9EAF7" w:val="clear"/>
          </w:tcPr>
          <w:p>
            <w:r>
              <w:rPr>
                <w:b/>
                <w:bCs/>
              </w:rPr>
              <w:t xml:space="preserve">Actor / component</w:t>
            </w:r>
          </w:p>
        </w:tc>
        <w:tc>
          <w:tcPr>
            <w:tcW w:type="dxa" w:w="750"/>
            <w:shd w:fill="D9EAF7" w:val="clear"/>
          </w:tcPr>
          <w:p>
            <w:r>
              <w:rPr>
                <w:b/>
                <w:bCs/>
              </w:rPr>
              <w:t xml:space="preserve">Priority</w:t>
            </w:r>
          </w:p>
        </w:tc>
        <w:tc>
          <w:tcPr>
            <w:tcW w:type="dxa" w:w="2020"/>
            <w:shd w:fill="D9EAF7" w:val="clear"/>
          </w:tcPr>
          <w:p>
            <w:r>
              <w:rPr>
                <w:b/>
                <w:bCs/>
              </w:rPr>
              <w:t xml:space="preserve">Acceptance evidence</w:t>
            </w:r>
          </w:p>
        </w:tc>
        <w:tc>
          <w:tcPr>
            <w:tcW w:type="dxa" w:w="700"/>
            <w:shd w:fill="D9EAF7" w:val="clear"/>
          </w:tcPr>
          <w:p>
            <w:r>
              <w:rPr>
                <w:b/>
                <w:bCs/>
              </w:rPr>
              <w:t xml:space="preserve">Source</w:t>
            </w:r>
          </w:p>
        </w:tc>
        <w:tc>
          <w:tcPr>
            <w:tcW w:type="dxa" w:w="500"/>
            <w:shd w:fill="D9EAF7" w:val="clear"/>
          </w:tcPr>
          <w:p>
            <w:r>
              <w:rPr>
                <w:b/>
                <w:bCs/>
              </w:rPr>
              <w:t xml:space="preserve">Status</w:t>
            </w:r>
          </w:p>
        </w:tc>
      </w:tr>
      <w:tr>
        <w:tc>
          <w:tcPr>
            <w:tcW w:type="dxa" w:w="560"/>
          </w:tcPr>
          <w:p>
            <w:r>
              <w:t xml:space="preserve">FR1</w:t>
            </w:r>
          </w:p>
        </w:tc>
        <w:tc>
          <w:tcPr>
            <w:tcW w:type="dxa" w:w="4000"/>
          </w:tcPr>
          <w:p>
            <w:r>
              <w:t xml:space="preserve">The test harness shall provide a synthetic environment simulating the clinic and hospital systems that MedTalk integrates with, like Best Practice, using mock patient data.</w:t>
            </w:r>
          </w:p>
        </w:tc>
        <w:tc>
          <w:tcPr>
            <w:tcW w:type="dxa" w:w="1550"/>
          </w:tcPr>
          <w:p>
            <w:r>
              <w:t xml:space="preserve">Synthetic environment</w:t>
            </w:r>
          </w:p>
        </w:tc>
        <w:tc>
          <w:tcPr>
            <w:tcW w:type="dxa" w:w="750"/>
          </w:tcPr>
          <w:p>
            <w:r>
              <w:t xml:space="preserve">High</w:t>
            </w:r>
          </w:p>
        </w:tc>
        <w:tc>
          <w:tcPr>
            <w:tcW w:type="dxa" w:w="2020"/>
          </w:tcPr>
          <w:p>
            <w:r>
              <w:t xml:space="preserve">Mock environment deployed and accessible using mock clinical records</w:t>
            </w:r>
          </w:p>
        </w:tc>
        <w:tc>
          <w:tcPr>
            <w:tcW w:type="dxa" w:w="700"/>
          </w:tcPr>
          <w:p>
            <w:r>
              <w:t xml:space="preserve">Project brief</w:t>
            </w:r>
          </w:p>
        </w:tc>
        <w:tc>
          <w:tcPr>
            <w:tcW w:type="dxa" w:w="500"/>
          </w:tcPr>
          <w:p>
            <w:r>
              <w:t xml:space="preserve">Draft</w:t>
            </w:r>
          </w:p>
        </w:tc>
      </w:tr>
      <w:tr>
        <w:tc>
          <w:tcPr>
            <w:tcW w:type="dxa" w:w="560"/>
          </w:tcPr>
          <w:p>
            <w:r>
              <w:t xml:space="preserve">FR2</w:t>
            </w:r>
          </w:p>
        </w:tc>
        <w:tc>
          <w:tcPr>
            <w:tcW w:type="dxa" w:w="4000"/>
          </w:tcPr>
          <w:p>
            <w:r>
              <w:t xml:space="preserve">The test harness shall simulate Best Practice integration through Halo Connect, exposing FHIR-compliant interfaces.</w:t>
            </w:r>
          </w:p>
        </w:tc>
        <w:tc>
          <w:tcPr>
            <w:tcW w:type="dxa" w:w="1550"/>
          </w:tcPr>
          <w:p>
            <w:r>
              <w:t xml:space="preserve">Halo Connect</w:t>
            </w:r>
          </w:p>
        </w:tc>
        <w:tc>
          <w:tcPr>
            <w:tcW w:type="dxa" w:w="750"/>
          </w:tcPr>
          <w:p>
            <w:r>
              <w:t xml:space="preserve">High</w:t>
            </w:r>
          </w:p>
        </w:tc>
        <w:tc>
          <w:tcPr>
            <w:tcW w:type="dxa" w:w="2020"/>
          </w:tcPr>
          <w:p>
            <w:r>
              <w:t xml:space="preserve">Halo Connect interface responds to FHIR requests using the correct format</w:t>
            </w:r>
          </w:p>
        </w:tc>
        <w:tc>
          <w:tcPr>
            <w:tcW w:type="dxa" w:w="700"/>
          </w:tcPr>
          <w:p>
            <w:r>
              <w:t xml:space="preserve">Project brief</w:t>
            </w:r>
          </w:p>
        </w:tc>
        <w:tc>
          <w:tcPr>
            <w:tcW w:type="dxa" w:w="500"/>
          </w:tcPr>
          <w:p>
            <w:r>
              <w:t xml:space="preserve">Draft</w:t>
            </w:r>
          </w:p>
        </w:tc>
      </w:tr>
      <w:tr>
        <w:tc>
          <w:tcPr>
            <w:tcW w:type="dxa" w:w="560"/>
          </w:tcPr>
          <w:p>
            <w:r>
              <w:t xml:space="preserve">FR3</w:t>
            </w:r>
          </w:p>
        </w:tc>
        <w:tc>
          <w:tcPr>
            <w:tcW w:type="dxa" w:w="4000"/>
          </w:tcPr>
          <w:p>
            <w:r>
              <w:t xml:space="preserve">The test harness shall source a set of synthetic patient records coded using SNOMED CT-AU.</w:t>
            </w:r>
          </w:p>
        </w:tc>
        <w:tc>
          <w:tcPr>
            <w:tcW w:type="dxa" w:w="1550"/>
          </w:tcPr>
          <w:p>
            <w:r>
              <w:t xml:space="preserve">Test harness (data generator, e.g. Synthea)</w:t>
            </w:r>
          </w:p>
        </w:tc>
        <w:tc>
          <w:tcPr>
            <w:tcW w:type="dxa" w:w="750"/>
          </w:tcPr>
          <w:p>
            <w:r>
              <w:t xml:space="preserve">High</w:t>
            </w:r>
          </w:p>
        </w:tc>
        <w:tc>
          <w:tcPr>
            <w:tcW w:type="dxa" w:w="2020"/>
          </w:tcPr>
          <w:p>
            <w:r>
              <w:t xml:space="preserve">Clinical synthetic dataset produced using SNOMED CT-AU codes</w:t>
            </w:r>
          </w:p>
        </w:tc>
        <w:tc>
          <w:tcPr>
            <w:tcW w:type="dxa" w:w="700"/>
          </w:tcPr>
          <w:p>
            <w:r>
              <w:t xml:space="preserve">Project brief</w:t>
            </w:r>
          </w:p>
        </w:tc>
        <w:tc>
          <w:tcPr>
            <w:tcW w:type="dxa" w:w="500"/>
          </w:tcPr>
          <w:p>
            <w:r>
              <w:t xml:space="preserve">Draft</w:t>
            </w:r>
          </w:p>
        </w:tc>
      </w:tr>
      <w:tr>
        <w:tc>
          <w:tcPr>
            <w:tcW w:type="dxa" w:w="560"/>
          </w:tcPr>
          <w:p>
            <w:r>
              <w:t xml:space="preserve">FR4</w:t>
            </w:r>
          </w:p>
        </w:tc>
        <w:tc>
          <w:tcPr>
            <w:tcW w:type="dxa" w:w="4000"/>
          </w:tcPr>
          <w:p>
            <w:r>
              <w:t xml:space="preserve">The test harness shall load synthetic patient records into the test environment.</w:t>
            </w:r>
          </w:p>
        </w:tc>
        <w:tc>
          <w:tcPr>
            <w:tcW w:type="dxa" w:w="1550"/>
          </w:tcPr>
          <w:p>
            <w:r>
              <w:t xml:space="preserve">Test harness</w:t>
            </w:r>
          </w:p>
        </w:tc>
        <w:tc>
          <w:tcPr>
            <w:tcW w:type="dxa" w:w="750"/>
          </w:tcPr>
          <w:p>
            <w:r>
              <w:t xml:space="preserve">High</w:t>
            </w:r>
          </w:p>
        </w:tc>
        <w:tc>
          <w:tcPr>
            <w:tcW w:type="dxa" w:w="2020"/>
          </w:tcPr>
          <w:p>
            <w:r>
              <w:t xml:space="preserve">Synthetic patient records are successfully loaded and retrievable</w:t>
            </w:r>
          </w:p>
        </w:tc>
        <w:tc>
          <w:tcPr>
            <w:tcW w:type="dxa" w:w="700"/>
          </w:tcPr>
          <w:p>
            <w:r>
              <w:t xml:space="preserve">Project brief</w:t>
            </w:r>
          </w:p>
        </w:tc>
        <w:tc>
          <w:tcPr>
            <w:tcW w:type="dxa" w:w="500"/>
          </w:tcPr>
          <w:p>
            <w:r>
              <w:t xml:space="preserve">Confirmed</w:t>
            </w:r>
          </w:p>
        </w:tc>
      </w:tr>
      <w:tr>
        <w:tc>
          <w:tcPr>
            <w:tcW w:type="dxa" w:w="560"/>
          </w:tcPr>
          <w:p>
            <w:r>
              <w:t xml:space="preserve">FR5</w:t>
            </w:r>
          </w:p>
        </w:tc>
        <w:tc>
          <w:tcPr>
            <w:tcW w:type="dxa" w:w="4000"/>
          </w:tcPr>
          <w:p>
            <w:r>
              <w:t xml:space="preserve">The test harness shall validate the synthetic clinical records against defined data requirements for fields, schema and SNOMED CT-AU coding validity.</w:t>
            </w:r>
          </w:p>
        </w:tc>
        <w:tc>
          <w:tcPr>
            <w:tcW w:type="dxa" w:w="1550"/>
          </w:tcPr>
          <w:p>
            <w:r>
              <w:t xml:space="preserve">Test harness (validation module)</w:t>
            </w:r>
          </w:p>
        </w:tc>
        <w:tc>
          <w:tcPr>
            <w:tcW w:type="dxa" w:w="750"/>
          </w:tcPr>
          <w:p>
            <w:r>
              <w:t xml:space="preserve">Medium</w:t>
            </w:r>
          </w:p>
        </w:tc>
        <w:tc>
          <w:tcPr>
            <w:tcW w:type="dxa" w:w="2020"/>
          </w:tcPr>
          <w:p>
            <w:r>
              <w:t xml:space="preserve">Validation rules documented; clinical records pass/fail test</w:t>
            </w:r>
          </w:p>
        </w:tc>
        <w:tc>
          <w:tcPr>
            <w:tcW w:type="dxa" w:w="700"/>
          </w:tcPr>
          <w:p>
            <w:r>
              <w:t xml:space="preserve">Team defined</w:t>
            </w:r>
          </w:p>
        </w:tc>
        <w:tc>
          <w:tcPr>
            <w:tcW w:type="dxa" w:w="500"/>
          </w:tcPr>
          <w:p>
            <w:r>
              <w:t xml:space="preserve">Draft</w:t>
            </w:r>
          </w:p>
        </w:tc>
      </w:tr>
      <w:tr>
        <w:tc>
          <w:tcPr>
            <w:tcW w:type="dxa" w:w="560"/>
          </w:tcPr>
          <w:p>
            <w:r>
              <w:t xml:space="preserve">FR6</w:t>
            </w:r>
          </w:p>
        </w:tc>
        <w:tc>
          <w:tcPr>
            <w:tcW w:type="dxa" w:w="4000"/>
          </w:tcPr>
          <w:p>
            <w:r>
              <w:t xml:space="preserve">The test harness shall test the mapping of SNOMED CT-AU concepts to ICD-10-AM diagnosis codes, including edge cases such as ambiguous or unmapped codes.</w:t>
            </w:r>
          </w:p>
        </w:tc>
        <w:tc>
          <w:tcPr>
            <w:tcW w:type="dxa" w:w="1550"/>
          </w:tcPr>
          <w:p>
            <w:r>
              <w:t xml:space="preserve">Test harness (mapping module)</w:t>
            </w:r>
          </w:p>
        </w:tc>
        <w:tc>
          <w:tcPr>
            <w:tcW w:type="dxa" w:w="750"/>
          </w:tcPr>
          <w:p>
            <w:r>
              <w:t xml:space="preserve">High</w:t>
            </w:r>
          </w:p>
        </w:tc>
        <w:tc>
          <w:tcPr>
            <w:tcW w:type="dxa" w:w="2020"/>
          </w:tcPr>
          <w:p>
            <w:r>
              <w:t xml:space="preserve">Test cases confirm correct ICD-10-AM output for known SNOMED CT-AU inputs and flag edge cases</w:t>
            </w:r>
          </w:p>
        </w:tc>
        <w:tc>
          <w:tcPr>
            <w:tcW w:type="dxa" w:w="700"/>
          </w:tcPr>
          <w:p>
            <w:r>
              <w:t xml:space="preserve">Project brief</w:t>
            </w:r>
          </w:p>
        </w:tc>
        <w:tc>
          <w:tcPr>
            <w:tcW w:type="dxa" w:w="500"/>
          </w:tcPr>
          <w:p>
            <w:r>
              <w:t xml:space="preserve">Draft</w:t>
            </w:r>
          </w:p>
        </w:tc>
      </w:tr>
      <w:tr>
        <w:tc>
          <w:tcPr>
            <w:tcW w:type="dxa" w:w="560"/>
          </w:tcPr>
          <w:p>
            <w:r>
              <w:t xml:space="preserve">FR7</w:t>
            </w:r>
          </w:p>
        </w:tc>
        <w:tc>
          <w:tcPr>
            <w:tcW w:type="dxa" w:w="4000"/>
          </w:tcPr>
          <w:p>
            <w:r>
              <w:t xml:space="preserve">The test harness shall test the mapping of SNOMED CT-AU concepts to MBS billing codes, including edge cases.</w:t>
            </w:r>
          </w:p>
        </w:tc>
        <w:tc>
          <w:tcPr>
            <w:tcW w:type="dxa" w:w="1550"/>
          </w:tcPr>
          <w:p>
            <w:r>
              <w:t xml:space="preserve">Test harness (mapping module)</w:t>
            </w:r>
          </w:p>
        </w:tc>
        <w:tc>
          <w:tcPr>
            <w:tcW w:type="dxa" w:w="750"/>
          </w:tcPr>
          <w:p>
            <w:r>
              <w:t xml:space="preserve">High</w:t>
            </w:r>
          </w:p>
        </w:tc>
        <w:tc>
          <w:tcPr>
            <w:tcW w:type="dxa" w:w="2020"/>
          </w:tcPr>
          <w:p>
            <w:r>
              <w:t xml:space="preserve">Test cases confirm correct MBS code output for known SNOMED CT-AU inputs and flag edge cases</w:t>
            </w:r>
          </w:p>
        </w:tc>
        <w:tc>
          <w:tcPr>
            <w:tcW w:type="dxa" w:w="700"/>
          </w:tcPr>
          <w:p>
            <w:r>
              <w:t xml:space="preserve">Project brief</w:t>
            </w:r>
          </w:p>
        </w:tc>
        <w:tc>
          <w:tcPr>
            <w:tcW w:type="dxa" w:w="500"/>
          </w:tcPr>
          <w:p>
            <w:r>
              <w:t xml:space="preserve">Draft</w:t>
            </w:r>
          </w:p>
        </w:tc>
      </w:tr>
      <w:tr>
        <w:tc>
          <w:tcPr>
            <w:tcW w:type="dxa" w:w="560"/>
          </w:tcPr>
          <w:p>
            <w:r>
              <w:t xml:space="preserve">FR8</w:t>
            </w:r>
          </w:p>
        </w:tc>
        <w:tc>
          <w:tcPr>
            <w:tcW w:type="dxa" w:w="4000"/>
          </w:tcPr>
          <w:p>
            <w:r>
              <w:t xml:space="preserve">The test harness shall simulate invalid or malformed clinical data to validate the records.</w:t>
            </w:r>
          </w:p>
        </w:tc>
        <w:tc>
          <w:tcPr>
            <w:tcW w:type="dxa" w:w="1550"/>
          </w:tcPr>
          <w:p>
            <w:r>
              <w:t xml:space="preserve">Test harness (fault injection, e.g. incorrect clinical record)</w:t>
            </w:r>
          </w:p>
        </w:tc>
        <w:tc>
          <w:tcPr>
            <w:tcW w:type="dxa" w:w="750"/>
          </w:tcPr>
          <w:p>
            <w:r>
              <w:t xml:space="preserve">High</w:t>
            </w:r>
          </w:p>
        </w:tc>
        <w:tc>
          <w:tcPr>
            <w:tcW w:type="dxa" w:w="2020"/>
          </w:tcPr>
          <w:p>
            <w:r>
              <w:t xml:space="preserve">Malformed data sent to the synthetic environment triggers expected error/rejection response and reason</w:t>
            </w:r>
          </w:p>
        </w:tc>
        <w:tc>
          <w:tcPr>
            <w:tcW w:type="dxa" w:w="700"/>
          </w:tcPr>
          <w:p>
            <w:r>
              <w:t xml:space="preserve">Project brief</w:t>
            </w:r>
          </w:p>
        </w:tc>
        <w:tc>
          <w:tcPr>
            <w:tcW w:type="dxa" w:w="500"/>
          </w:tcPr>
          <w:p>
            <w:r>
              <w:t xml:space="preserve">Draft</w:t>
            </w:r>
          </w:p>
        </w:tc>
      </w:tr>
      <w:tr>
        <w:tc>
          <w:tcPr>
            <w:tcW w:type="dxa" w:w="560"/>
          </w:tcPr>
          <w:p>
            <w:r>
              <w:t xml:space="preserve">FR9</w:t>
            </w:r>
          </w:p>
        </w:tc>
        <w:tc>
          <w:tcPr>
            <w:tcW w:type="dxa" w:w="4000"/>
          </w:tcPr>
          <w:p>
            <w:r>
              <w:t xml:space="preserve">The test harness shall simulate slow/delayed responses from an external clinical system.</w:t>
            </w:r>
          </w:p>
        </w:tc>
        <w:tc>
          <w:tcPr>
            <w:tcW w:type="dxa" w:w="1550"/>
          </w:tcPr>
          <w:p>
            <w:r>
              <w:t xml:space="preserve">Test harness (fault injection)</w:t>
            </w:r>
          </w:p>
        </w:tc>
        <w:tc>
          <w:tcPr>
            <w:tcW w:type="dxa" w:w="750"/>
          </w:tcPr>
          <w:p>
            <w:r>
              <w:t xml:space="preserve">Medium</w:t>
            </w:r>
          </w:p>
        </w:tc>
        <w:tc>
          <w:tcPr>
            <w:tcW w:type="dxa" w:w="2020"/>
          </w:tcPr>
          <w:p>
            <w:r>
              <w:t xml:space="preserve">Simulated delay triggers timeout/retry behaviour to be defined in test plan</w:t>
            </w:r>
          </w:p>
        </w:tc>
        <w:tc>
          <w:tcPr>
            <w:tcW w:type="dxa" w:w="700"/>
          </w:tcPr>
          <w:p>
            <w:r>
              <w:t xml:space="preserve">Project brief</w:t>
            </w:r>
          </w:p>
        </w:tc>
        <w:tc>
          <w:tcPr>
            <w:tcW w:type="dxa" w:w="500"/>
          </w:tcPr>
          <w:p>
            <w:r>
              <w:t xml:space="preserve">Draft</w:t>
            </w:r>
          </w:p>
        </w:tc>
      </w:tr>
      <w:tr>
        <w:tc>
          <w:tcPr>
            <w:tcW w:type="dxa" w:w="560"/>
          </w:tcPr>
          <w:p>
            <w:r>
              <w:t xml:space="preserve">FR10</w:t>
            </w:r>
          </w:p>
        </w:tc>
        <w:tc>
          <w:tcPr>
            <w:tcW w:type="dxa" w:w="4000"/>
          </w:tcPr>
          <w:p>
            <w:r>
              <w:t xml:space="preserve">The test harness shall simulate a dropped connection during data exchange.</w:t>
            </w:r>
          </w:p>
        </w:tc>
        <w:tc>
          <w:tcPr>
            <w:tcW w:type="dxa" w:w="1550"/>
          </w:tcPr>
          <w:p>
            <w:r>
              <w:t xml:space="preserve">Test harness (fault injection)</w:t>
            </w:r>
          </w:p>
        </w:tc>
        <w:tc>
          <w:tcPr>
            <w:tcW w:type="dxa" w:w="750"/>
          </w:tcPr>
          <w:p>
            <w:r>
              <w:t xml:space="preserve">Medium</w:t>
            </w:r>
          </w:p>
        </w:tc>
        <w:tc>
          <w:tcPr>
            <w:tcW w:type="dxa" w:w="2020"/>
          </w:tcPr>
          <w:p>
            <w:r>
              <w:t xml:space="preserve">Simulated disconnection triggers expected recovery/error logging behaviour</w:t>
            </w:r>
          </w:p>
        </w:tc>
        <w:tc>
          <w:tcPr>
            <w:tcW w:type="dxa" w:w="700"/>
          </w:tcPr>
          <w:p>
            <w:r>
              <w:t xml:space="preserve">Project brief</w:t>
            </w:r>
          </w:p>
        </w:tc>
        <w:tc>
          <w:tcPr>
            <w:tcW w:type="dxa" w:w="500"/>
          </w:tcPr>
          <w:p>
            <w:r>
              <w:t xml:space="preserve">Draft</w:t>
            </w:r>
          </w:p>
        </w:tc>
      </w:tr>
      <w:tr>
        <w:tc>
          <w:tcPr>
            <w:tcW w:type="dxa" w:w="560"/>
          </w:tcPr>
          <w:p>
            <w:r>
              <w:t xml:space="preserve">FR11</w:t>
            </w:r>
          </w:p>
        </w:tc>
        <w:tc>
          <w:tcPr>
            <w:tcW w:type="dxa" w:w="4000"/>
          </w:tcPr>
          <w:p>
            <w:r>
              <w:t xml:space="preserve">The test harness shall automatically record the result of each test and mark it as passed or failed.</w:t>
            </w:r>
          </w:p>
        </w:tc>
        <w:tc>
          <w:tcPr>
            <w:tcW w:type="dxa" w:w="1550"/>
          </w:tcPr>
          <w:p>
            <w:r>
              <w:t xml:space="preserve">Test harness (test run)</w:t>
            </w:r>
          </w:p>
        </w:tc>
        <w:tc>
          <w:tcPr>
            <w:tcW w:type="dxa" w:w="750"/>
          </w:tcPr>
          <w:p>
            <w:r>
              <w:t xml:space="preserve">High</w:t>
            </w:r>
          </w:p>
        </w:tc>
        <w:tc>
          <w:tcPr>
            <w:tcW w:type="dxa" w:w="2020"/>
          </w:tcPr>
          <w:p>
            <w:r>
              <w:t xml:space="preserve">Test execution log shows pass/fail status for the test</w:t>
            </w:r>
          </w:p>
        </w:tc>
        <w:tc>
          <w:tcPr>
            <w:tcW w:type="dxa" w:w="700"/>
          </w:tcPr>
          <w:p>
            <w:r>
              <w:t xml:space="preserve">Project brief</w:t>
            </w:r>
          </w:p>
        </w:tc>
        <w:tc>
          <w:tcPr>
            <w:tcW w:type="dxa" w:w="500"/>
          </w:tcPr>
          <w:p>
            <w:r>
              <w:t xml:space="preserve">Draft</w:t>
            </w:r>
          </w:p>
        </w:tc>
      </w:tr>
      <w:tr>
        <w:tc>
          <w:tcPr>
            <w:tcW w:type="dxa" w:w="560"/>
          </w:tcPr>
          <w:p>
            <w:r>
              <w:t xml:space="preserve">FR12</w:t>
            </w:r>
          </w:p>
        </w:tc>
        <w:tc>
          <w:tcPr>
            <w:tcW w:type="dxa" w:w="4000"/>
          </w:tcPr>
          <w:p>
            <w:r>
              <w:t xml:space="preserve">The test harness shall record a specific reason for each failed test.</w:t>
            </w:r>
          </w:p>
        </w:tc>
        <w:tc>
          <w:tcPr>
            <w:tcW w:type="dxa" w:w="1550"/>
          </w:tcPr>
          <w:p>
            <w:r>
              <w:t xml:space="preserve">Test harness (test run)</w:t>
            </w:r>
          </w:p>
        </w:tc>
        <w:tc>
          <w:tcPr>
            <w:tcW w:type="dxa" w:w="750"/>
          </w:tcPr>
          <w:p>
            <w:r>
              <w:t xml:space="preserve">High</w:t>
            </w:r>
          </w:p>
        </w:tc>
        <w:tc>
          <w:tcPr>
            <w:tcW w:type="dxa" w:w="2020"/>
          </w:tcPr>
          <w:p>
            <w:r>
              <w:t xml:space="preserve">Failed test entries include a specific failure reason/error message</w:t>
            </w:r>
          </w:p>
        </w:tc>
        <w:tc>
          <w:tcPr>
            <w:tcW w:type="dxa" w:w="700"/>
          </w:tcPr>
          <w:p>
            <w:r>
              <w:t xml:space="preserve">Project brief</w:t>
            </w:r>
          </w:p>
        </w:tc>
        <w:tc>
          <w:tcPr>
            <w:tcW w:type="dxa" w:w="500"/>
          </w:tcPr>
          <w:p>
            <w:r>
              <w:t xml:space="preserve">Draft</w:t>
            </w:r>
          </w:p>
        </w:tc>
      </w:tr>
      <w:tr>
        <w:tc>
          <w:tcPr>
            <w:tcW w:type="dxa" w:w="560"/>
          </w:tcPr>
          <w:p>
            <w:r>
              <w:t xml:space="preserve">FR13</w:t>
            </w:r>
          </w:p>
        </w:tc>
        <w:tc>
          <w:tcPr>
            <w:tcW w:type="dxa" w:w="4000"/>
          </w:tcPr>
          <w:p>
            <w:r>
              <w:t xml:space="preserve">The test harness shall generate a report summarising the test results.</w:t>
            </w:r>
          </w:p>
        </w:tc>
        <w:tc>
          <w:tcPr>
            <w:tcW w:type="dxa" w:w="1550"/>
          </w:tcPr>
          <w:p>
            <w:r>
              <w:t xml:space="preserve">Test harness (reporting module)</w:t>
            </w:r>
          </w:p>
        </w:tc>
        <w:tc>
          <w:tcPr>
            <w:tcW w:type="dxa" w:w="750"/>
          </w:tcPr>
          <w:p>
            <w:r>
              <w:t xml:space="preserve">High</w:t>
            </w:r>
          </w:p>
        </w:tc>
        <w:tc>
          <w:tcPr>
            <w:tcW w:type="dxa" w:w="2020"/>
          </w:tcPr>
          <w:p>
            <w:r>
              <w:t xml:space="preserve">Report generated showing totals passed/failed and details per test case</w:t>
            </w:r>
          </w:p>
        </w:tc>
        <w:tc>
          <w:tcPr>
            <w:tcW w:type="dxa" w:w="700"/>
          </w:tcPr>
          <w:p>
            <w:r>
              <w:t xml:space="preserve">Project brief</w:t>
            </w:r>
          </w:p>
        </w:tc>
        <w:tc>
          <w:tcPr>
            <w:tcW w:type="dxa" w:w="500"/>
          </w:tcPr>
          <w:p>
            <w:r>
              <w:t xml:space="preserve">Draft</w:t>
            </w:r>
          </w:p>
        </w:tc>
      </w:tr>
    </w:tbl>
    <w:p/>
    <w:p>
      <w:pPr>
        <w:pStyle w:val="Heading3"/>
      </w:pPr>
      <w:r>
        <w:rPr>
          <w:b/>
          <w:bCs/>
        </w:rPr>
        <w:t xml:space="preserve">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4000"/>
        <w:gridCol w:w="1550"/>
        <w:gridCol w:w="750"/>
        <w:gridCol w:w="2020"/>
        <w:gridCol w:w="700"/>
        <w:gridCol w:w="500"/>
      </w:tblGrid>
      <w:tr>
        <w:trPr>
          <w:tblHeader/>
        </w:trPr>
        <w:tc>
          <w:tcPr>
            <w:tcW w:type="dxa" w:w="560"/>
            <w:shd w:fill="D9EAF7" w:val="clear"/>
          </w:tcPr>
          <w:p>
            <w:r>
              <w:rPr>
                <w:b/>
                <w:bCs/>
              </w:rPr>
              <w:t xml:space="preserve">ID</w:t>
            </w:r>
          </w:p>
        </w:tc>
        <w:tc>
          <w:tcPr>
            <w:tcW w:type="dxa" w:w="4000"/>
            <w:shd w:fill="D9EAF7" w:val="clear"/>
          </w:tcPr>
          <w:p>
            <w:r>
              <w:rPr>
                <w:b/>
                <w:bCs/>
              </w:rPr>
              <w:t xml:space="preserve">Requirement</w:t>
            </w:r>
          </w:p>
        </w:tc>
        <w:tc>
          <w:tcPr>
            <w:tcW w:type="dxa" w:w="1550"/>
            <w:shd w:fill="D9EAF7" w:val="clear"/>
          </w:tcPr>
          <w:p>
            <w:r>
              <w:rPr>
                <w:b/>
                <w:bCs/>
              </w:rPr>
              <w:t xml:space="preserve">Actor / component</w:t>
            </w:r>
          </w:p>
        </w:tc>
        <w:tc>
          <w:tcPr>
            <w:tcW w:type="dxa" w:w="750"/>
            <w:shd w:fill="D9EAF7" w:val="clear"/>
          </w:tcPr>
          <w:p>
            <w:r>
              <w:rPr>
                <w:b/>
                <w:bCs/>
              </w:rPr>
              <w:t xml:space="preserve">Priority</w:t>
            </w:r>
          </w:p>
        </w:tc>
        <w:tc>
          <w:tcPr>
            <w:tcW w:type="dxa" w:w="2020"/>
            <w:shd w:fill="D9EAF7" w:val="clear"/>
          </w:tcPr>
          <w:p>
            <w:r>
              <w:rPr>
                <w:b/>
                <w:bCs/>
              </w:rPr>
              <w:t xml:space="preserve">Acceptance evidence</w:t>
            </w:r>
          </w:p>
        </w:tc>
        <w:tc>
          <w:tcPr>
            <w:tcW w:type="dxa" w:w="700"/>
            <w:shd w:fill="D9EAF7" w:val="clear"/>
          </w:tcPr>
          <w:p>
            <w:r>
              <w:rPr>
                <w:b/>
                <w:bCs/>
              </w:rPr>
              <w:t xml:space="preserve">Source</w:t>
            </w:r>
          </w:p>
        </w:tc>
        <w:tc>
          <w:tcPr>
            <w:tcW w:type="dxa" w:w="500"/>
            <w:shd w:fill="D9EAF7" w:val="clear"/>
          </w:tcPr>
          <w:p>
            <w:r>
              <w:rPr>
                <w:b/>
                <w:bCs/>
              </w:rPr>
              <w:t xml:space="preserve">Status</w:t>
            </w:r>
          </w:p>
        </w:tc>
      </w:tr>
      <w:tr>
        <w:tc>
          <w:tcPr>
            <w:tcW w:type="dxa" w:w="560"/>
          </w:tcPr>
          <w:p>
            <w:r>
              <w:t xml:space="preserve">NFR1</w:t>
            </w:r>
          </w:p>
        </w:tc>
        <w:tc>
          <w:tcPr>
            <w:tcW w:type="dxa" w:w="4000"/>
          </w:tcPr>
          <w:p>
            <w:r>
              <w:t xml:space="preserve">The test harness shall execute the full automated test suite in under 30 minutes, so it can be run as a routine build check.</w:t>
            </w:r>
          </w:p>
        </w:tc>
        <w:tc>
          <w:tcPr>
            <w:tcW w:type="dxa" w:w="1550"/>
          </w:tcPr>
          <w:p>
            <w:r>
              <w:t xml:space="preserve">Test harness (test runner)</w:t>
            </w:r>
          </w:p>
        </w:tc>
        <w:tc>
          <w:tcPr>
            <w:tcW w:type="dxa" w:w="750"/>
          </w:tcPr>
          <w:p>
            <w:r>
              <w:t xml:space="preserve">Medium</w:t>
            </w:r>
          </w:p>
        </w:tc>
        <w:tc>
          <w:tcPr>
            <w:tcW w:type="dxa" w:w="2020"/>
          </w:tcPr>
          <w:p>
            <w:r>
              <w:t xml:space="preserve">Timed pipeline execution log</w:t>
            </w:r>
          </w:p>
        </w:tc>
        <w:tc>
          <w:tcPr>
            <w:tcW w:type="dxa" w:w="700"/>
          </w:tcPr>
          <w:p>
            <w:r>
              <w:t xml:space="preserve">Team defined</w:t>
            </w:r>
          </w:p>
        </w:tc>
        <w:tc>
          <w:tcPr>
            <w:tcW w:type="dxa" w:w="500"/>
          </w:tcPr>
          <w:p>
            <w:r>
              <w:t xml:space="preserve">Draft</w:t>
            </w:r>
          </w:p>
        </w:tc>
      </w:tr>
      <w:tr>
        <w:tc>
          <w:tcPr>
            <w:tcW w:type="dxa" w:w="560"/>
          </w:tcPr>
          <w:p>
            <w:r>
              <w:t xml:space="preserve">NFR2</w:t>
            </w:r>
          </w:p>
        </w:tc>
        <w:tc>
          <w:tcPr>
            <w:tcW w:type="dxa" w:w="4000"/>
          </w:tcPr>
          <w:p>
            <w:r>
              <w:t xml:space="preserve">The test harness shall contain zero real patient-identifiable data at any stage, verified by an automated scan of the synthetic dataset before each test run.</w:t>
            </w:r>
          </w:p>
        </w:tc>
        <w:tc>
          <w:tcPr>
            <w:tcW w:type="dxa" w:w="1550"/>
          </w:tcPr>
          <w:p>
            <w:r>
              <w:t xml:space="preserve">Test harness (data governance)</w:t>
            </w:r>
          </w:p>
        </w:tc>
        <w:tc>
          <w:tcPr>
            <w:tcW w:type="dxa" w:w="750"/>
          </w:tcPr>
          <w:p>
            <w:r>
              <w:t xml:space="preserve">High</w:t>
            </w:r>
          </w:p>
        </w:tc>
        <w:tc>
          <w:tcPr>
            <w:tcW w:type="dxa" w:w="2020"/>
          </w:tcPr>
          <w:p>
            <w:r>
              <w:t xml:space="preserve">Automated PII/PHI scan report with zero findings</w:t>
            </w:r>
          </w:p>
        </w:tc>
        <w:tc>
          <w:tcPr>
            <w:tcW w:type="dxa" w:w="700"/>
          </w:tcPr>
          <w:p>
            <w:r>
              <w:t xml:space="preserve">Project brief</w:t>
            </w:r>
          </w:p>
        </w:tc>
        <w:tc>
          <w:tcPr>
            <w:tcW w:type="dxa" w:w="500"/>
          </w:tcPr>
          <w:p>
            <w:r>
              <w:t xml:space="preserve">Draft</w:t>
            </w:r>
          </w:p>
        </w:tc>
      </w:tr>
      <w:tr>
        <w:tc>
          <w:tcPr>
            <w:tcW w:type="dxa" w:w="560"/>
          </w:tcPr>
          <w:p>
            <w:r>
              <w:t xml:space="preserve">NFR3</w:t>
            </w:r>
          </w:p>
        </w:tc>
        <w:tc>
          <w:tcPr>
            <w:tcW w:type="dxa" w:w="4000"/>
          </w:tcPr>
          <w:p>
            <w:r>
              <w:t xml:space="preserve">Access to the test harness repository and environment shall be restricted to authenticated project team members and the industry mentor, using role-based permissions.</w:t>
            </w:r>
          </w:p>
        </w:tc>
        <w:tc>
          <w:tcPr>
            <w:tcW w:type="dxa" w:w="1550"/>
          </w:tcPr>
          <w:p>
            <w:r>
              <w:t xml:space="preserve">GitHub / Jira access control</w:t>
            </w:r>
          </w:p>
        </w:tc>
        <w:tc>
          <w:tcPr>
            <w:tcW w:type="dxa" w:w="750"/>
          </w:tcPr>
          <w:p>
            <w:r>
              <w:t xml:space="preserve">Medium</w:t>
            </w:r>
          </w:p>
        </w:tc>
        <w:tc>
          <w:tcPr>
            <w:tcW w:type="dxa" w:w="2020"/>
          </w:tcPr>
          <w:p>
            <w:r>
              <w:t xml:space="preserve">Access control list reviewed against team roster</w:t>
            </w:r>
          </w:p>
        </w:tc>
        <w:tc>
          <w:tcPr>
            <w:tcW w:type="dxa" w:w="700"/>
          </w:tcPr>
          <w:p>
            <w:r>
              <w:t xml:space="preserve">Team defined</w:t>
            </w:r>
          </w:p>
        </w:tc>
        <w:tc>
          <w:tcPr>
            <w:tcW w:type="dxa" w:w="500"/>
          </w:tcPr>
          <w:p>
            <w:r>
              <w:t xml:space="preserve">Draft</w:t>
            </w:r>
          </w:p>
        </w:tc>
      </w:tr>
      <w:tr>
        <w:tc>
          <w:tcPr>
            <w:tcW w:type="dxa" w:w="560"/>
          </w:tcPr>
          <w:p>
            <w:r>
              <w:t xml:space="preserve">NFR4</w:t>
            </w:r>
          </w:p>
        </w:tc>
        <w:tc>
          <w:tcPr>
            <w:tcW w:type="dxa" w:w="4000"/>
          </w:tcPr>
          <w:p>
            <w:r>
              <w:t xml:space="preserve">After a simulated dropped connection, the test harness shall log the failure and return to a ready state within 60 seconds without manual restart.</w:t>
            </w:r>
          </w:p>
        </w:tc>
        <w:tc>
          <w:tcPr>
            <w:tcW w:type="dxa" w:w="1550"/>
          </w:tcPr>
          <w:p>
            <w:r>
              <w:t xml:space="preserve">Test harness (fault recovery)</w:t>
            </w:r>
          </w:p>
        </w:tc>
        <w:tc>
          <w:tcPr>
            <w:tcW w:type="dxa" w:w="750"/>
          </w:tcPr>
          <w:p>
            <w:r>
              <w:t xml:space="preserve">Medium</w:t>
            </w:r>
          </w:p>
        </w:tc>
        <w:tc>
          <w:tcPr>
            <w:tcW w:type="dxa" w:w="2020"/>
          </w:tcPr>
          <w:p>
            <w:r>
              <w:t xml:space="preserve">Timed recovery test with log evidence</w:t>
            </w:r>
          </w:p>
        </w:tc>
        <w:tc>
          <w:tcPr>
            <w:tcW w:type="dxa" w:w="700"/>
          </w:tcPr>
          <w:p>
            <w:r>
              <w:t xml:space="preserve">Project brief</w:t>
            </w:r>
          </w:p>
        </w:tc>
        <w:tc>
          <w:tcPr>
            <w:tcW w:type="dxa" w:w="500"/>
          </w:tcPr>
          <w:p>
            <w:r>
              <w:t xml:space="preserve">Draft</w:t>
            </w:r>
          </w:p>
        </w:tc>
      </w:tr>
      <w:tr>
        <w:tc>
          <w:tcPr>
            <w:tcW w:type="dxa" w:w="560"/>
          </w:tcPr>
          <w:p>
            <w:r>
              <w:t xml:space="preserve">NFR5</w:t>
            </w:r>
          </w:p>
        </w:tc>
        <w:tc>
          <w:tcPr>
            <w:tcW w:type="dxa" w:w="4000"/>
          </w:tcPr>
          <w:p>
            <w:r>
              <w:t xml:space="preserve">All FHIR interactions simulated by the test harness shall conform to the FHIR R4 AU Core implementation guide used by Best Practice/Halo Connect.</w:t>
            </w:r>
          </w:p>
        </w:tc>
        <w:tc>
          <w:tcPr>
            <w:tcW w:type="dxa" w:w="1550"/>
          </w:tcPr>
          <w:p>
            <w:r>
              <w:t xml:space="preserve">Halo Connect / FHIR interface</w:t>
            </w:r>
          </w:p>
        </w:tc>
        <w:tc>
          <w:tcPr>
            <w:tcW w:type="dxa" w:w="750"/>
          </w:tcPr>
          <w:p>
            <w:r>
              <w:t xml:space="preserve">High</w:t>
            </w:r>
          </w:p>
        </w:tc>
        <w:tc>
          <w:tcPr>
            <w:tcW w:type="dxa" w:w="2020"/>
          </w:tcPr>
          <w:p>
            <w:r>
              <w:t xml:space="preserve">FHIR resource validation against AU Core profiles using a validator tool</w:t>
            </w:r>
          </w:p>
        </w:tc>
        <w:tc>
          <w:tcPr>
            <w:tcW w:type="dxa" w:w="700"/>
          </w:tcPr>
          <w:p>
            <w:r>
              <w:t xml:space="preserve">Implementation Guide (MEDTAL_2)</w:t>
            </w:r>
          </w:p>
        </w:tc>
        <w:tc>
          <w:tcPr>
            <w:tcW w:type="dxa" w:w="500"/>
          </w:tcPr>
          <w:p>
            <w:r>
              <w:t xml:space="preserve">Draft</w:t>
            </w:r>
          </w:p>
        </w:tc>
      </w:tr>
      <w:tr>
        <w:tc>
          <w:tcPr>
            <w:tcW w:type="dxa" w:w="560"/>
          </w:tcPr>
          <w:p>
            <w:r>
              <w:t xml:space="preserve">NFR6</w:t>
            </w:r>
          </w:p>
        </w:tc>
        <w:tc>
          <w:tcPr>
            <w:tcW w:type="dxa" w:w="4000"/>
          </w:tcPr>
          <w:p>
            <w:r>
              <w:t xml:space="preserve">The test harness's setup and usage steps shall be documented so a new team member can run the full test suite within 30 minutes of first access.</w:t>
            </w:r>
          </w:p>
        </w:tc>
        <w:tc>
          <w:tcPr>
            <w:tcW w:type="dxa" w:w="1550"/>
          </w:tcPr>
          <w:p>
            <w:r>
              <w:t xml:space="preserve">Documentation / how-to guide</w:t>
            </w:r>
          </w:p>
        </w:tc>
        <w:tc>
          <w:tcPr>
            <w:tcW w:type="dxa" w:w="750"/>
          </w:tcPr>
          <w:p>
            <w:r>
              <w:t xml:space="preserve">Medium</w:t>
            </w:r>
          </w:p>
        </w:tc>
        <w:tc>
          <w:tcPr>
            <w:tcW w:type="dxa" w:w="2020"/>
          </w:tcPr>
          <w:p>
            <w:r>
              <w:t xml:space="preserve">New-member walkthrough test with time recorded</w:t>
            </w:r>
          </w:p>
        </w:tc>
        <w:tc>
          <w:tcPr>
            <w:tcW w:type="dxa" w:w="700"/>
          </w:tcPr>
          <w:p>
            <w:r>
              <w:t xml:space="preserve">Project brief (deliverables)</w:t>
            </w:r>
          </w:p>
        </w:tc>
        <w:tc>
          <w:tcPr>
            <w:tcW w:type="dxa" w:w="500"/>
          </w:tcPr>
          <w:p>
            <w:r>
              <w:t xml:space="preserve">Draft</w:t>
            </w:r>
          </w:p>
        </w:tc>
      </w:tr>
      <w:tr>
        <w:tc>
          <w:tcPr>
            <w:tcW w:type="dxa" w:w="560"/>
          </w:tcPr>
          <w:p>
            <w:r>
              <w:t xml:space="preserve">NFR7</w:t>
            </w:r>
          </w:p>
        </w:tc>
        <w:tc>
          <w:tcPr>
            <w:tcW w:type="dxa" w:w="4000"/>
          </w:tcPr>
          <w:p>
            <w:r>
              <w:t xml:space="preserve">The test harness shall retain test execution logs and reports for at least the semester duration, so results can be reviewed at each assessment checkpoint.</w:t>
            </w:r>
          </w:p>
        </w:tc>
        <w:tc>
          <w:tcPr>
            <w:tcW w:type="dxa" w:w="1550"/>
          </w:tcPr>
          <w:p>
            <w:r>
              <w:t xml:space="preserve">Test harness (reporting module)</w:t>
            </w:r>
          </w:p>
        </w:tc>
        <w:tc>
          <w:tcPr>
            <w:tcW w:type="dxa" w:w="750"/>
          </w:tcPr>
          <w:p>
            <w:r>
              <w:t xml:space="preserve">Medium</w:t>
            </w:r>
          </w:p>
        </w:tc>
        <w:tc>
          <w:tcPr>
            <w:tcW w:type="dxa" w:w="2020"/>
          </w:tcPr>
          <w:p>
            <w:r>
              <w:t xml:space="preserve">Log retention verified at Week 5 / 8–9 / 12 checkpoints</w:t>
            </w:r>
          </w:p>
        </w:tc>
        <w:tc>
          <w:tcPr>
            <w:tcW w:type="dxa" w:w="700"/>
          </w:tcPr>
          <w:p>
            <w:r>
              <w:t xml:space="preserve">Team defined</w:t>
            </w:r>
          </w:p>
        </w:tc>
        <w:tc>
          <w:tcPr>
            <w:tcW w:type="dxa" w:w="500"/>
          </w:tcPr>
          <w:p>
            <w:r>
              <w:t xml:space="preserve">Draft</w:t>
            </w:r>
          </w:p>
        </w:tc>
      </w:tr>
    </w:tbl>
    <w:p/>
    <w:p>
      <w:pPr>
        <w:pStyle w:val="Heading2"/>
      </w:pPr>
      <w:r>
        <w:rPr>
          <w:b/>
          <w:bCs/>
        </w:rPr>
        <w:t xml:space="preserve">Task 3.3 — Requirement quality test</w:t>
      </w:r>
    </w:p>
    <w:p>
      <w:pPr>
        <w:spacing w:after="160"/>
      </w:pPr>
      <w:r>
        <w:t xml:space="preserve">A sample of requirements was checked for clarity, singularity, feasibility, necessity, testability, traceability and ambiguity. Vague terms were replaced with measurable criteria: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2100"/>
        <w:gridCol w:w="2680"/>
      </w:tblGrid>
      <w:tr>
        <w:trPr>
          <w:tblHeader/>
        </w:trPr>
        <w:tc>
          <w:tcPr>
            <w:tcW w:type="dxa" w:w="1900"/>
            <w:shd w:fill="D9EAF7" w:val="clear"/>
          </w:tcPr>
          <w:p>
            <w:r>
              <w:rPr>
                <w:b/>
                <w:bCs/>
              </w:rPr>
              <w:t xml:space="preserve">Requirement</w:t>
            </w:r>
          </w:p>
        </w:tc>
        <w:tc>
          <w:tcPr>
            <w:tcW w:type="dxa" w:w="3400"/>
            <w:shd w:fill="D9EAF7" w:val="clear"/>
          </w:tcPr>
          <w:p>
            <w:r>
              <w:rPr>
                <w:b/>
                <w:bCs/>
              </w:rPr>
              <w:t xml:space="preserve">Quality issues found</w:t>
            </w:r>
          </w:p>
        </w:tc>
        <w:tc>
          <w:tcPr>
            <w:tcW w:type="dxa" w:w="2100"/>
            <w:shd w:fill="D9EAF7" w:val="clear"/>
          </w:tcPr>
          <w:p>
            <w:r>
              <w:rPr>
                <w:b/>
                <w:bCs/>
              </w:rPr>
              <w:t xml:space="preserve">Vague term(s) flagged</w:t>
            </w:r>
          </w:p>
        </w:tc>
        <w:tc>
          <w:tcPr>
            <w:tcW w:type="dxa" w:w="2680"/>
            <w:shd w:fill="D9EAF7" w:val="clear"/>
          </w:tcPr>
          <w:p>
            <w:r>
              <w:rPr>
                <w:b/>
                <w:bCs/>
              </w:rPr>
              <w:t xml:space="preserve">Action taken / status</w:t>
            </w:r>
          </w:p>
        </w:tc>
      </w:tr>
      <w:tr>
        <w:tc>
          <w:tcPr>
            <w:tcW w:type="dxa" w:w="1900"/>
          </w:tcPr>
          <w:p>
            <w:r>
              <w:t xml:space="preserve">FR5 (original draft)</w:t>
            </w:r>
          </w:p>
        </w:tc>
        <w:tc>
          <w:tcPr>
            <w:tcW w:type="dxa" w:w="3400"/>
          </w:tcPr>
          <w:p>
            <w:r>
              <w:t xml:space="preserve">Fails singularity — bundles three separate checks (field presence, schema conformance, SNOMED CT-AU code validity) into one requirement, making it hard to test or trace individually.</w:t>
            </w:r>
          </w:p>
        </w:tc>
        <w:tc>
          <w:tcPr>
            <w:tcW w:type="dxa" w:w="2100"/>
          </w:tcPr>
          <w:p>
            <w:r>
              <w:t xml:space="preserve">"defined data requirements" — not specified which requirements</w:t>
            </w:r>
          </w:p>
        </w:tc>
        <w:tc>
          <w:tcPr>
            <w:tcW w:type="dxa" w:w="2680"/>
          </w:tcPr>
          <w:p>
            <w:r>
              <w:t xml:space="preserve">Recommended split into three atomic requirements (field completeness, schema conformance, SNOMED CT-AU code validity), each with its own pass/fail criterion, before Week 4 SRS.</w:t>
            </w:r>
          </w:p>
        </w:tc>
      </w:tr>
      <w:tr>
        <w:tc>
          <w:tcPr>
            <w:tcW w:type="dxa" w:w="1900"/>
          </w:tcPr>
          <w:p>
            <w:r>
              <w:t xml:space="preserve">Early elicitation note: "the system must be secure"</w:t>
            </w:r>
          </w:p>
        </w:tc>
        <w:tc>
          <w:tcPr>
            <w:tcW w:type="dxa" w:w="3400"/>
          </w:tcPr>
          <w:p>
            <w:r>
              <w:t xml:space="preserve">Fails clarity, testability and singularity — "secure" covers data privacy, access control and standards conformance at once, with no measurable threshold.</w:t>
            </w:r>
          </w:p>
        </w:tc>
        <w:tc>
          <w:tcPr>
            <w:tcW w:type="dxa" w:w="2100"/>
          </w:tcPr>
          <w:p>
            <w:r>
              <w:t xml:space="preserve">"secure"</w:t>
            </w:r>
          </w:p>
        </w:tc>
        <w:tc>
          <w:tcPr>
            <w:tcW w:type="dxa" w:w="2680"/>
          </w:tcPr>
          <w:p>
            <w:r>
              <w:t xml:space="preserve">Matured into three separate, testable non-functional requirements: NFR2 (zero PII/PHI in synthetic data, automated scan), NFR3 (role-based access control), NFR5 (FHIR AU Core conformance).</w:t>
            </w:r>
          </w:p>
        </w:tc>
      </w:tr>
      <w:tr>
        <w:tc>
          <w:tcPr>
            <w:tcW w:type="dxa" w:w="1900"/>
          </w:tcPr>
          <w:p>
            <w:r>
              <w:t xml:space="preserve">FR9</w:t>
            </w:r>
          </w:p>
        </w:tc>
        <w:tc>
          <w:tcPr>
            <w:tcW w:type="dxa" w:w="3400"/>
          </w:tcPr>
          <w:p>
            <w:r>
              <w:t xml:space="preserve">Testable in principle (simulated delay triggers timeout/retry) but the actual threshold is not yet defined, so it cannot be marked pass/fail today.</w:t>
            </w:r>
          </w:p>
        </w:tc>
        <w:tc>
          <w:tcPr>
            <w:tcW w:type="dxa" w:w="2100"/>
          </w:tcPr>
          <w:p>
            <w:r>
              <w:t xml:space="preserve">"timeout/retry behavior to be defined" — no numeric threshold</w:t>
            </w:r>
          </w:p>
        </w:tc>
        <w:tc>
          <w:tcPr>
            <w:tcW w:type="dxa" w:w="2680"/>
          </w:tcPr>
          <w:p>
            <w:r>
              <w:t xml:space="preserve">Flagged as an open item for the Week 12 test plan: confirm the exact delay threshold (e.g. &gt;5 seconds) with the mentor before it is treated as testable.</w:t>
            </w:r>
          </w:p>
        </w:tc>
      </w:tr>
    </w:tbl>
    <w:p/>
    <w:p>
      <w:pPr>
        <w:pStyle w:val="Heading2"/>
      </w:pPr>
      <w:r>
        <w:rPr>
          <w:b/>
          <w:bCs/>
        </w:rPr>
        <w:t xml:space="preserve">Task 3.4 — Prioritisation and conflicts</w:t>
      </w:r>
    </w:p>
    <w:p>
      <w:pPr>
        <w:pStyle w:val="Heading3"/>
      </w:pPr>
      <w:r>
        <w:rPr>
          <w:b/>
          <w:bCs/>
        </w:rPr>
        <w:t xml:space="preserve">MoSCoW prioritisation</w:t>
      </w:r>
    </w:p>
    <w:p>
      <w:pPr>
        <w:spacing w:after="160"/>
      </w:pPr>
      <w:r>
        <w:t xml:space="preserve">Must have: SR1, SR4, SR5, SR7, FR1, FR2, FR3, FR4, FR6, FR7, FR8, FR11, FR12, FR13, NFR2, NFR5 — safety-, compliance- or core-integration-critical items.</w:t>
      </w:r>
    </w:p>
    <w:p>
      <w:pPr>
        <w:spacing w:after="160"/>
      </w:pPr>
      <w:r>
        <w:t xml:space="preserve">Should have: SR2, SR3, SR6, SR8, FR9, FR10, NFR1, NFR3, NFR4, NFR6, NFR7 — important for quality and usability but not blocking a minimum viable Stage 1 deliverable.</w:t>
      </w:r>
    </w:p>
    <w:p>
      <w:pPr>
        <w:spacing w:after="160"/>
      </w:pPr>
      <w:r>
        <w:t xml:space="preserve">Could have: extended Epic sandbox connector test coverage beyond the MVP scope; an interactive dashboard visualising test-result trends over time (rather than a static report).</w:t>
      </w:r>
    </w:p>
    <w:p>
      <w:pPr>
        <w:spacing w:after="160"/>
      </w:pPr>
      <w:r>
        <w:t xml:space="preserve">Won't have (this project): integration testing against live production hospital systems; clinical decision-making or diagnostic features of the MedTalk product itself — both explicitly out of scope per the project brief.</w:t>
      </w:r>
    </w:p>
    <w:p>
      <w:pPr>
        <w:pStyle w:val="Heading3"/>
      </w:pPr>
      <w:r>
        <w:rPr>
          <w:b/>
          <w:bCs/>
        </w:rPr>
        <w:t xml:space="preserve">Identified conflicts</w:t>
      </w:r>
    </w:p>
    <w:p>
      <w:pPr>
        <w:spacing w:after="160"/>
      </w:pPr>
      <w:r>
        <w:t xml:space="preserve">Conflict 1 — Depth of fault-injection logging vs. build effort and timeline. FAZ Australia (SR5, NFR7) wants detailed, retained logging for every fault scenario, but building rich structured logging adds development time the team may not have alongside the SNOMED/ICD-10-AM/MBS mapping work. Resolution: agree a minimum viable log schema (timestamp, scenario, expected vs actual behaviour, pass/fail) with the mentor in Week 6, and treat richer logging (e.g. full request/response capture) as a Could-have.</w:t>
      </w:r>
    </w:p>
    <w:p>
      <w:pPr>
        <w:spacing w:after="160"/>
      </w:pPr>
      <w:r>
        <w:t xml:space="preserve">Conflict 2 — Thoroughness of SNOMED CT-AU/ICD-10-AM/MBS edge-case coverage vs. Semester 1 time constraint. The project brief and SR4 imply exhaustive edge-case testing, but Stage 1 is design-only with a Week 12 deadline, so full edge-case coverage cannot realistically be built and executed this semester. Resolution: define a representative edge-case set (at least 15 clinical scenarios, per the Week 1 charter objective) for Stage 1 design, and explicitly scope broader edge-case expansion into Stage 2, confirmed with the mentor.</w:t>
      </w:r>
    </w:p>
    <w:p/>
    <w:p>
      <w:pPr>
        <w:pStyle w:val="Heading2"/>
      </w:pPr>
      <w:r>
        <w:rPr>
          <w:b/>
          <w:bCs/>
        </w:rPr>
        <w:t xml:space="preserve">Task 3.5 — Traceability matrix</w:t>
      </w:r>
    </w:p>
    <w:p>
      <w:pPr>
        <w:spacing w:after="160"/>
      </w:pPr>
      <w:r>
        <w:t xml:space="preserve">Jira item references below are placeholders (HITH-xx) pending creation of the actual issues in the team Jira project; replace with live issue keys before final submission.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900"/>
        <w:gridCol w:w="1180"/>
        <w:gridCol w:w="3200"/>
      </w:tblGrid>
      <w:tr>
        <w:trPr>
          <w:tblHeader/>
        </w:trPr>
        <w:tc>
          <w:tcPr>
            <w:tcW w:type="dxa" w:w="700"/>
            <w:shd w:fill="D9EAF7" w:val="clear"/>
          </w:tcPr>
          <w:p>
            <w:r>
              <w:rPr>
                <w:b/>
                <w:bCs/>
              </w:rPr>
              <w:t xml:space="preserve">ID</w:t>
            </w:r>
          </w:p>
        </w:tc>
        <w:tc>
          <w:tcPr>
            <w:tcW w:type="dxa" w:w="2100"/>
            <w:shd w:fill="D9EAF7" w:val="clear"/>
          </w:tcPr>
          <w:p>
            <w:r>
              <w:rPr>
                <w:b/>
                <w:bCs/>
              </w:rPr>
              <w:t xml:space="preserve">Stakeholder / source</w:t>
            </w:r>
          </w:p>
        </w:tc>
        <w:tc>
          <w:tcPr>
            <w:tcW w:type="dxa" w:w="2900"/>
            <w:shd w:fill="D9EAF7" w:val="clear"/>
          </w:tcPr>
          <w:p>
            <w:r>
              <w:rPr>
                <w:b/>
                <w:bCs/>
              </w:rPr>
              <w:t xml:space="preserve">Business objective</w:t>
            </w:r>
          </w:p>
        </w:tc>
        <w:tc>
          <w:tcPr>
            <w:tcW w:type="dxa" w:w="1180"/>
            <w:shd w:fill="D9EAF7" w:val="clear"/>
          </w:tcPr>
          <w:p>
            <w:r>
              <w:rPr>
                <w:b/>
                <w:bCs/>
              </w:rPr>
              <w:t xml:space="preserve">Jira item</w:t>
            </w:r>
          </w:p>
        </w:tc>
        <w:tc>
          <w:tcPr>
            <w:tcW w:type="dxa" w:w="3200"/>
            <w:shd w:fill="D9EAF7" w:val="clear"/>
          </w:tcPr>
          <w:p>
            <w:r>
              <w:rPr>
                <w:b/>
                <w:bCs/>
              </w:rPr>
              <w:t xml:space="preserve">Acceptance evidence</w:t>
            </w:r>
          </w:p>
        </w:tc>
      </w:tr>
      <w:tr>
        <w:tc>
          <w:tcPr>
            <w:tcW w:type="dxa" w:w="700"/>
          </w:tcPr>
          <w:p>
            <w:r>
              <w:t xml:space="preserve">SR1</w:t>
            </w:r>
          </w:p>
        </w:tc>
        <w:tc>
          <w:tcPr>
            <w:tcW w:type="dxa" w:w="2100"/>
          </w:tcPr>
          <w:p>
            <w:r>
              <w:t xml:space="preserve">Atif Nisar</w:t>
            </w:r>
          </w:p>
        </w:tc>
        <w:tc>
          <w:tcPr>
            <w:tcW w:type="dxa" w:w="2900"/>
          </w:tcPr>
          <w:p>
            <w:r>
              <w:t xml:space="preserve">Obj 1 — FHIR/Halo Connect mapping (Wk 6)</w:t>
            </w:r>
          </w:p>
        </w:tc>
        <w:tc>
          <w:tcPr>
            <w:tcW w:type="dxa" w:w="1180"/>
          </w:tcPr>
          <w:p>
            <w:r>
              <w:t xml:space="preserve">HITH-30</w:t>
            </w:r>
          </w:p>
        </w:tc>
        <w:tc>
          <w:tcPr>
            <w:tcW w:type="dxa" w:w="3200"/>
          </w:tcPr>
          <w:p>
            <w:r>
              <w:t xml:space="preserve">Mentor design review</w:t>
            </w:r>
          </w:p>
        </w:tc>
      </w:tr>
      <w:tr>
        <w:tc>
          <w:tcPr>
            <w:tcW w:type="dxa" w:w="700"/>
          </w:tcPr>
          <w:p>
            <w:r>
              <w:t xml:space="preserve">SR2</w:t>
            </w:r>
          </w:p>
        </w:tc>
        <w:tc>
          <w:tcPr>
            <w:tcW w:type="dxa" w:w="2100"/>
          </w:tcPr>
          <w:p>
            <w:r>
              <w:t xml:space="preserve">Atif Nisar</w:t>
            </w:r>
          </w:p>
        </w:tc>
        <w:tc>
          <w:tcPr>
            <w:tcW w:type="dxa" w:w="2900"/>
          </w:tcPr>
          <w:p>
            <w:r>
              <w:t xml:space="preserve">Obj 4 — Automated test suite (Sem 2)</w:t>
            </w:r>
          </w:p>
        </w:tc>
        <w:tc>
          <w:tcPr>
            <w:tcW w:type="dxa" w:w="1180"/>
          </w:tcPr>
          <w:p>
            <w:r>
              <w:t xml:space="preserve">HITH-31</w:t>
            </w:r>
          </w:p>
        </w:tc>
        <w:tc>
          <w:tcPr>
            <w:tcW w:type="dxa" w:w="3200"/>
          </w:tcPr>
          <w:p>
            <w:r>
              <w:t xml:space="preserve">Engineering walkthrough</w:t>
            </w:r>
          </w:p>
        </w:tc>
      </w:tr>
      <w:tr>
        <w:tc>
          <w:tcPr>
            <w:tcW w:type="dxa" w:w="700"/>
          </w:tcPr>
          <w:p>
            <w:r>
              <w:t xml:space="preserve">SR3</w:t>
            </w:r>
          </w:p>
        </w:tc>
        <w:tc>
          <w:tcPr>
            <w:tcW w:type="dxa" w:w="2100"/>
          </w:tcPr>
          <w:p>
            <w:r>
              <w:t xml:space="preserve">Md Ashraf Uddin</w:t>
            </w:r>
          </w:p>
        </w:tc>
        <w:tc>
          <w:tcPr>
            <w:tcW w:type="dxa" w:w="2900"/>
          </w:tcPr>
          <w:p>
            <w:r>
              <w:t xml:space="preserve">Portfolio quality (all objectives)</w:t>
            </w:r>
          </w:p>
        </w:tc>
        <w:tc>
          <w:tcPr>
            <w:tcW w:type="dxa" w:w="1180"/>
          </w:tcPr>
          <w:p>
            <w:r>
              <w:t xml:space="preserve">HITH-32</w:t>
            </w:r>
          </w:p>
        </w:tc>
        <w:tc>
          <w:tcPr>
            <w:tcW w:type="dxa" w:w="3200"/>
          </w:tcPr>
          <w:p>
            <w:r>
              <w:t xml:space="preserve">Supervisor rubric review</w:t>
            </w:r>
          </w:p>
        </w:tc>
      </w:tr>
      <w:tr>
        <w:tc>
          <w:tcPr>
            <w:tcW w:type="dxa" w:w="700"/>
          </w:tcPr>
          <w:p>
            <w:r>
              <w:t xml:space="preserve">SR4</w:t>
            </w:r>
          </w:p>
        </w:tc>
        <w:tc>
          <w:tcPr>
            <w:tcW w:type="dxa" w:w="2100"/>
          </w:tcPr>
          <w:p>
            <w:r>
              <w:t xml:space="preserve">Project brief</w:t>
            </w:r>
          </w:p>
        </w:tc>
        <w:tc>
          <w:tcPr>
            <w:tcW w:type="dxa" w:w="2900"/>
          </w:tcPr>
          <w:p>
            <w:r>
              <w:t xml:space="preserve">Obj 2 — SNOMED/ICD-10-AM/MBS mapping (Wk 10)</w:t>
            </w:r>
          </w:p>
        </w:tc>
        <w:tc>
          <w:tcPr>
            <w:tcW w:type="dxa" w:w="1180"/>
          </w:tcPr>
          <w:p>
            <w:r>
              <w:t xml:space="preserve">HITH-33</w:t>
            </w:r>
          </w:p>
        </w:tc>
        <w:tc>
          <w:tcPr>
            <w:tcW w:type="dxa" w:w="3200"/>
          </w:tcPr>
          <w:p>
            <w:r>
              <w:t xml:space="preserve">Mapping test pass/fail report</w:t>
            </w:r>
          </w:p>
        </w:tc>
      </w:tr>
      <w:tr>
        <w:tc>
          <w:tcPr>
            <w:tcW w:type="dxa" w:w="700"/>
          </w:tcPr>
          <w:p>
            <w:r>
              <w:t xml:space="preserve">SR5</w:t>
            </w:r>
          </w:p>
        </w:tc>
        <w:tc>
          <w:tcPr>
            <w:tcW w:type="dxa" w:w="2100"/>
          </w:tcPr>
          <w:p>
            <w:r>
              <w:t xml:space="preserve">Project brief</w:t>
            </w:r>
          </w:p>
        </w:tc>
        <w:tc>
          <w:tcPr>
            <w:tcW w:type="dxa" w:w="2900"/>
          </w:tcPr>
          <w:p>
            <w:r>
              <w:t xml:space="preserve">Obj 3 — Failure-mode test plan (Wk 12)</w:t>
            </w:r>
          </w:p>
        </w:tc>
        <w:tc>
          <w:tcPr>
            <w:tcW w:type="dxa" w:w="1180"/>
          </w:tcPr>
          <w:p>
            <w:r>
              <w:t xml:space="preserve">HITH-34</w:t>
            </w:r>
          </w:p>
        </w:tc>
        <w:tc>
          <w:tcPr>
            <w:tcW w:type="dxa" w:w="3200"/>
          </w:tcPr>
          <w:p>
            <w:r>
              <w:t xml:space="preserve">Fault-injection scenario results</w:t>
            </w:r>
          </w:p>
        </w:tc>
      </w:tr>
      <w:tr>
        <w:tc>
          <w:tcPr>
            <w:tcW w:type="dxa" w:w="700"/>
          </w:tcPr>
          <w:p>
            <w:r>
              <w:t xml:space="preserve">SR6</w:t>
            </w:r>
          </w:p>
        </w:tc>
        <w:tc>
          <w:tcPr>
            <w:tcW w:type="dxa" w:w="2100"/>
          </w:tcPr>
          <w:p>
            <w:r>
              <w:t xml:space="preserve">Connector Catalogue</w:t>
            </w:r>
          </w:p>
        </w:tc>
        <w:tc>
          <w:tcPr>
            <w:tcW w:type="dxa" w:w="2900"/>
          </w:tcPr>
          <w:p>
            <w:r>
              <w:t xml:space="preserve">Obj 1 — FHIR/Halo Connect mapping (Wk 6)</w:t>
            </w:r>
          </w:p>
        </w:tc>
        <w:tc>
          <w:tcPr>
            <w:tcW w:type="dxa" w:w="1180"/>
          </w:tcPr>
          <w:p>
            <w:r>
              <w:t xml:space="preserve">HITH-35</w:t>
            </w:r>
          </w:p>
        </w:tc>
        <w:tc>
          <w:tcPr>
            <w:tcW w:type="dxa" w:w="3200"/>
          </w:tcPr>
          <w:p>
            <w:r>
              <w:t xml:space="preserve">Connector maturity matrix</w:t>
            </w:r>
          </w:p>
        </w:tc>
      </w:tr>
      <w:tr>
        <w:tc>
          <w:tcPr>
            <w:tcW w:type="dxa" w:w="700"/>
          </w:tcPr>
          <w:p>
            <w:r>
              <w:t xml:space="preserve">SR7</w:t>
            </w:r>
          </w:p>
        </w:tc>
        <w:tc>
          <w:tcPr>
            <w:tcW w:type="dxa" w:w="2100"/>
          </w:tcPr>
          <w:p>
            <w:r>
              <w:t xml:space="preserve">Project brief / Readygrad</w:t>
            </w:r>
          </w:p>
        </w:tc>
        <w:tc>
          <w:tcPr>
            <w:tcW w:type="dxa" w:w="2900"/>
          </w:tcPr>
          <w:p>
            <w:r>
              <w:t xml:space="preserve">Obj 2 — synthetic-only data</w:t>
            </w:r>
          </w:p>
        </w:tc>
        <w:tc>
          <w:tcPr>
            <w:tcW w:type="dxa" w:w="1180"/>
          </w:tcPr>
          <w:p>
            <w:r>
              <w:t xml:space="preserve">HITH-36</w:t>
            </w:r>
          </w:p>
        </w:tc>
        <w:tc>
          <w:tcPr>
            <w:tcW w:type="dxa" w:w="3200"/>
          </w:tcPr>
          <w:p>
            <w:r>
              <w:t xml:space="preserve">Data governance audit</w:t>
            </w:r>
          </w:p>
        </w:tc>
      </w:tr>
      <w:tr>
        <w:tc>
          <w:tcPr>
            <w:tcW w:type="dxa" w:w="700"/>
          </w:tcPr>
          <w:p>
            <w:r>
              <w:t xml:space="preserve">SR8</w:t>
            </w:r>
          </w:p>
        </w:tc>
        <w:tc>
          <w:tcPr>
            <w:tcW w:type="dxa" w:w="2100"/>
          </w:tcPr>
          <w:p>
            <w:r>
              <w:t xml:space="preserve">Atif Nisar</w:t>
            </w:r>
          </w:p>
        </w:tc>
        <w:tc>
          <w:tcPr>
            <w:tcW w:type="dxa" w:w="2900"/>
          </w:tcPr>
          <w:p>
            <w:r>
              <w:t xml:space="preserve">Obj 4 — Automated test suite (Sem 2)</w:t>
            </w:r>
          </w:p>
        </w:tc>
        <w:tc>
          <w:tcPr>
            <w:tcW w:type="dxa" w:w="1180"/>
          </w:tcPr>
          <w:p>
            <w:r>
              <w:t xml:space="preserve">HITH-37</w:t>
            </w:r>
          </w:p>
        </w:tc>
        <w:tc>
          <w:tcPr>
            <w:tcW w:type="dxa" w:w="3200"/>
          </w:tcPr>
          <w:p>
            <w:r>
              <w:t xml:space="preserve">Mentor-reviewed summary report</w:t>
            </w:r>
          </w:p>
        </w:tc>
      </w:tr>
      <w:tr>
        <w:tc>
          <w:tcPr>
            <w:tcW w:type="dxa" w:w="700"/>
          </w:tcPr>
          <w:p>
            <w:r>
              <w:t xml:space="preserve">FR1</w:t>
            </w:r>
          </w:p>
        </w:tc>
        <w:tc>
          <w:tcPr>
            <w:tcW w:type="dxa" w:w="2100"/>
          </w:tcPr>
          <w:p>
            <w:r>
              <w:t xml:space="preserve">Project brief</w:t>
            </w:r>
          </w:p>
        </w:tc>
        <w:tc>
          <w:tcPr>
            <w:tcW w:type="dxa" w:w="2900"/>
          </w:tcPr>
          <w:p>
            <w:r>
              <w:t xml:space="preserve">Obj 1</w:t>
            </w:r>
          </w:p>
        </w:tc>
        <w:tc>
          <w:tcPr>
            <w:tcW w:type="dxa" w:w="1180"/>
          </w:tcPr>
          <w:p>
            <w:r>
              <w:t xml:space="preserve">HITH-40</w:t>
            </w:r>
          </w:p>
        </w:tc>
        <w:tc>
          <w:tcPr>
            <w:tcW w:type="dxa" w:w="3200"/>
          </w:tcPr>
          <w:p>
            <w:r>
              <w:t xml:space="preserve">Mock environment deployed</w:t>
            </w:r>
          </w:p>
        </w:tc>
      </w:tr>
      <w:tr>
        <w:tc>
          <w:tcPr>
            <w:tcW w:type="dxa" w:w="700"/>
          </w:tcPr>
          <w:p>
            <w:r>
              <w:t xml:space="preserve">FR2</w:t>
            </w:r>
          </w:p>
        </w:tc>
        <w:tc>
          <w:tcPr>
            <w:tcW w:type="dxa" w:w="2100"/>
          </w:tcPr>
          <w:p>
            <w:r>
              <w:t xml:space="preserve">Project brief</w:t>
            </w:r>
          </w:p>
        </w:tc>
        <w:tc>
          <w:tcPr>
            <w:tcW w:type="dxa" w:w="2900"/>
          </w:tcPr>
          <w:p>
            <w:r>
              <w:t xml:space="preserve">Obj 1</w:t>
            </w:r>
          </w:p>
        </w:tc>
        <w:tc>
          <w:tcPr>
            <w:tcW w:type="dxa" w:w="1180"/>
          </w:tcPr>
          <w:p>
            <w:r>
              <w:t xml:space="preserve">HITH-41</w:t>
            </w:r>
          </w:p>
        </w:tc>
        <w:tc>
          <w:tcPr>
            <w:tcW w:type="dxa" w:w="3200"/>
          </w:tcPr>
          <w:p>
            <w:r>
              <w:t xml:space="preserve">Halo Connect FHIR response check</w:t>
            </w:r>
          </w:p>
        </w:tc>
      </w:tr>
      <w:tr>
        <w:tc>
          <w:tcPr>
            <w:tcW w:type="dxa" w:w="700"/>
          </w:tcPr>
          <w:p>
            <w:r>
              <w:t xml:space="preserve">FR3</w:t>
            </w:r>
          </w:p>
        </w:tc>
        <w:tc>
          <w:tcPr>
            <w:tcW w:type="dxa" w:w="2100"/>
          </w:tcPr>
          <w:p>
            <w:r>
              <w:t xml:space="preserve">Project brief</w:t>
            </w:r>
          </w:p>
        </w:tc>
        <w:tc>
          <w:tcPr>
            <w:tcW w:type="dxa" w:w="2900"/>
          </w:tcPr>
          <w:p>
            <w:r>
              <w:t xml:space="preserve">Obj 2</w:t>
            </w:r>
          </w:p>
        </w:tc>
        <w:tc>
          <w:tcPr>
            <w:tcW w:type="dxa" w:w="1180"/>
          </w:tcPr>
          <w:p>
            <w:r>
              <w:t xml:space="preserve">HITH-42</w:t>
            </w:r>
          </w:p>
        </w:tc>
        <w:tc>
          <w:tcPr>
            <w:tcW w:type="dxa" w:w="3200"/>
          </w:tcPr>
          <w:p>
            <w:r>
              <w:t xml:space="preserve">Synthetic SNOMED CT-AU dataset produced</w:t>
            </w:r>
          </w:p>
        </w:tc>
      </w:tr>
      <w:tr>
        <w:tc>
          <w:tcPr>
            <w:tcW w:type="dxa" w:w="700"/>
          </w:tcPr>
          <w:p>
            <w:r>
              <w:t xml:space="preserve">FR4</w:t>
            </w:r>
          </w:p>
        </w:tc>
        <w:tc>
          <w:tcPr>
            <w:tcW w:type="dxa" w:w="2100"/>
          </w:tcPr>
          <w:p>
            <w:r>
              <w:t xml:space="preserve">Project brief</w:t>
            </w:r>
          </w:p>
        </w:tc>
        <w:tc>
          <w:tcPr>
            <w:tcW w:type="dxa" w:w="2900"/>
          </w:tcPr>
          <w:p>
            <w:r>
              <w:t xml:space="preserve">Obj 2</w:t>
            </w:r>
          </w:p>
        </w:tc>
        <w:tc>
          <w:tcPr>
            <w:tcW w:type="dxa" w:w="1180"/>
          </w:tcPr>
          <w:p>
            <w:r>
              <w:t xml:space="preserve">HITH-43</w:t>
            </w:r>
          </w:p>
        </w:tc>
        <w:tc>
          <w:tcPr>
            <w:tcW w:type="dxa" w:w="3200"/>
          </w:tcPr>
          <w:p>
            <w:r>
              <w:t xml:space="preserve">Records loaded and retrievable</w:t>
            </w:r>
          </w:p>
        </w:tc>
      </w:tr>
      <w:tr>
        <w:tc>
          <w:tcPr>
            <w:tcW w:type="dxa" w:w="700"/>
          </w:tcPr>
          <w:p>
            <w:r>
              <w:t xml:space="preserve">FR5</w:t>
            </w:r>
          </w:p>
        </w:tc>
        <w:tc>
          <w:tcPr>
            <w:tcW w:type="dxa" w:w="2100"/>
          </w:tcPr>
          <w:p>
            <w:r>
              <w:t xml:space="preserve">Team defined</w:t>
            </w:r>
          </w:p>
        </w:tc>
        <w:tc>
          <w:tcPr>
            <w:tcW w:type="dxa" w:w="2900"/>
          </w:tcPr>
          <w:p>
            <w:r>
              <w:t xml:space="preserve">Obj 2</w:t>
            </w:r>
          </w:p>
        </w:tc>
        <w:tc>
          <w:tcPr>
            <w:tcW w:type="dxa" w:w="1180"/>
          </w:tcPr>
          <w:p>
            <w:r>
              <w:t xml:space="preserve">HITH-44</w:t>
            </w:r>
          </w:p>
        </w:tc>
        <w:tc>
          <w:tcPr>
            <w:tcW w:type="dxa" w:w="3200"/>
          </w:tcPr>
          <w:p>
            <w:r>
              <w:t xml:space="preserve">Validation pass/fail test</w:t>
            </w:r>
          </w:p>
        </w:tc>
      </w:tr>
      <w:tr>
        <w:tc>
          <w:tcPr>
            <w:tcW w:type="dxa" w:w="700"/>
          </w:tcPr>
          <w:p>
            <w:r>
              <w:t xml:space="preserve">FR6</w:t>
            </w:r>
          </w:p>
        </w:tc>
        <w:tc>
          <w:tcPr>
            <w:tcW w:type="dxa" w:w="2100"/>
          </w:tcPr>
          <w:p>
            <w:r>
              <w:t xml:space="preserve">Project brief</w:t>
            </w:r>
          </w:p>
        </w:tc>
        <w:tc>
          <w:tcPr>
            <w:tcW w:type="dxa" w:w="2900"/>
          </w:tcPr>
          <w:p>
            <w:r>
              <w:t xml:space="preserve">Obj 2</w:t>
            </w:r>
          </w:p>
        </w:tc>
        <w:tc>
          <w:tcPr>
            <w:tcW w:type="dxa" w:w="1180"/>
          </w:tcPr>
          <w:p>
            <w:r>
              <w:t xml:space="preserve">HITH-45</w:t>
            </w:r>
          </w:p>
        </w:tc>
        <w:tc>
          <w:tcPr>
            <w:tcW w:type="dxa" w:w="3200"/>
          </w:tcPr>
          <w:p>
            <w:r>
              <w:t xml:space="preserve">SNOMED→ICD-10-AM test cases</w:t>
            </w:r>
          </w:p>
        </w:tc>
      </w:tr>
      <w:tr>
        <w:tc>
          <w:tcPr>
            <w:tcW w:type="dxa" w:w="700"/>
          </w:tcPr>
          <w:p>
            <w:r>
              <w:t xml:space="preserve">FR7</w:t>
            </w:r>
          </w:p>
        </w:tc>
        <w:tc>
          <w:tcPr>
            <w:tcW w:type="dxa" w:w="2100"/>
          </w:tcPr>
          <w:p>
            <w:r>
              <w:t xml:space="preserve">Project brief</w:t>
            </w:r>
          </w:p>
        </w:tc>
        <w:tc>
          <w:tcPr>
            <w:tcW w:type="dxa" w:w="2900"/>
          </w:tcPr>
          <w:p>
            <w:r>
              <w:t xml:space="preserve">Obj 2</w:t>
            </w:r>
          </w:p>
        </w:tc>
        <w:tc>
          <w:tcPr>
            <w:tcW w:type="dxa" w:w="1180"/>
          </w:tcPr>
          <w:p>
            <w:r>
              <w:t xml:space="preserve">HITH-46</w:t>
            </w:r>
          </w:p>
        </w:tc>
        <w:tc>
          <w:tcPr>
            <w:tcW w:type="dxa" w:w="3200"/>
          </w:tcPr>
          <w:p>
            <w:r>
              <w:t xml:space="preserve">SNOMED→MBS test cases</w:t>
            </w:r>
          </w:p>
        </w:tc>
      </w:tr>
      <w:tr>
        <w:tc>
          <w:tcPr>
            <w:tcW w:type="dxa" w:w="700"/>
          </w:tcPr>
          <w:p>
            <w:r>
              <w:t xml:space="preserve">FR8</w:t>
            </w:r>
          </w:p>
        </w:tc>
        <w:tc>
          <w:tcPr>
            <w:tcW w:type="dxa" w:w="2100"/>
          </w:tcPr>
          <w:p>
            <w:r>
              <w:t xml:space="preserve">Project brief</w:t>
            </w:r>
          </w:p>
        </w:tc>
        <w:tc>
          <w:tcPr>
            <w:tcW w:type="dxa" w:w="2900"/>
          </w:tcPr>
          <w:p>
            <w:r>
              <w:t xml:space="preserve">Obj 3</w:t>
            </w:r>
          </w:p>
        </w:tc>
        <w:tc>
          <w:tcPr>
            <w:tcW w:type="dxa" w:w="1180"/>
          </w:tcPr>
          <w:p>
            <w:r>
              <w:t xml:space="preserve">HITH-47</w:t>
            </w:r>
          </w:p>
        </w:tc>
        <w:tc>
          <w:tcPr>
            <w:tcW w:type="dxa" w:w="3200"/>
          </w:tcPr>
          <w:p>
            <w:r>
              <w:t xml:space="preserve">Malformed-data rejection response</w:t>
            </w:r>
          </w:p>
        </w:tc>
      </w:tr>
      <w:tr>
        <w:tc>
          <w:tcPr>
            <w:tcW w:type="dxa" w:w="700"/>
          </w:tcPr>
          <w:p>
            <w:r>
              <w:t xml:space="preserve">FR9</w:t>
            </w:r>
          </w:p>
        </w:tc>
        <w:tc>
          <w:tcPr>
            <w:tcW w:type="dxa" w:w="2100"/>
          </w:tcPr>
          <w:p>
            <w:r>
              <w:t xml:space="preserve">Project brief</w:t>
            </w:r>
          </w:p>
        </w:tc>
        <w:tc>
          <w:tcPr>
            <w:tcW w:type="dxa" w:w="2900"/>
          </w:tcPr>
          <w:p>
            <w:r>
              <w:t xml:space="preserve">Obj 3</w:t>
            </w:r>
          </w:p>
        </w:tc>
        <w:tc>
          <w:tcPr>
            <w:tcW w:type="dxa" w:w="1180"/>
          </w:tcPr>
          <w:p>
            <w:r>
              <w:t xml:space="preserve">HITH-48</w:t>
            </w:r>
          </w:p>
        </w:tc>
        <w:tc>
          <w:tcPr>
            <w:tcW w:type="dxa" w:w="3200"/>
          </w:tcPr>
          <w:p>
            <w:r>
              <w:t xml:space="preserve">Delay → timeout/retry behaviour</w:t>
            </w:r>
          </w:p>
        </w:tc>
      </w:tr>
      <w:tr>
        <w:tc>
          <w:tcPr>
            <w:tcW w:type="dxa" w:w="700"/>
          </w:tcPr>
          <w:p>
            <w:r>
              <w:t xml:space="preserve">FR10</w:t>
            </w:r>
          </w:p>
        </w:tc>
        <w:tc>
          <w:tcPr>
            <w:tcW w:type="dxa" w:w="2100"/>
          </w:tcPr>
          <w:p>
            <w:r>
              <w:t xml:space="preserve">Project brief</w:t>
            </w:r>
          </w:p>
        </w:tc>
        <w:tc>
          <w:tcPr>
            <w:tcW w:type="dxa" w:w="2900"/>
          </w:tcPr>
          <w:p>
            <w:r>
              <w:t xml:space="preserve">Obj 3</w:t>
            </w:r>
          </w:p>
        </w:tc>
        <w:tc>
          <w:tcPr>
            <w:tcW w:type="dxa" w:w="1180"/>
          </w:tcPr>
          <w:p>
            <w:r>
              <w:t xml:space="preserve">HITH-49</w:t>
            </w:r>
          </w:p>
        </w:tc>
        <w:tc>
          <w:tcPr>
            <w:tcW w:type="dxa" w:w="3200"/>
          </w:tcPr>
          <w:p>
            <w:r>
              <w:t xml:space="preserve">Dropped connection recovery/log</w:t>
            </w:r>
          </w:p>
        </w:tc>
      </w:tr>
      <w:tr>
        <w:tc>
          <w:tcPr>
            <w:tcW w:type="dxa" w:w="700"/>
          </w:tcPr>
          <w:p>
            <w:r>
              <w:t xml:space="preserve">FR11</w:t>
            </w:r>
          </w:p>
        </w:tc>
        <w:tc>
          <w:tcPr>
            <w:tcW w:type="dxa" w:w="2100"/>
          </w:tcPr>
          <w:p>
            <w:r>
              <w:t xml:space="preserve">Project brief</w:t>
            </w:r>
          </w:p>
        </w:tc>
        <w:tc>
          <w:tcPr>
            <w:tcW w:type="dxa" w:w="2900"/>
          </w:tcPr>
          <w:p>
            <w:r>
              <w:t xml:space="preserve">Obj 4</w:t>
            </w:r>
          </w:p>
        </w:tc>
        <w:tc>
          <w:tcPr>
            <w:tcW w:type="dxa" w:w="1180"/>
          </w:tcPr>
          <w:p>
            <w:r>
              <w:t xml:space="preserve">HITH-50</w:t>
            </w:r>
          </w:p>
        </w:tc>
        <w:tc>
          <w:tcPr>
            <w:tcW w:type="dxa" w:w="3200"/>
          </w:tcPr>
          <w:p>
            <w:r>
              <w:t xml:space="preserve">Pass/fail status per test</w:t>
            </w:r>
          </w:p>
        </w:tc>
      </w:tr>
      <w:tr>
        <w:tc>
          <w:tcPr>
            <w:tcW w:type="dxa" w:w="700"/>
          </w:tcPr>
          <w:p>
            <w:r>
              <w:t xml:space="preserve">FR12</w:t>
            </w:r>
          </w:p>
        </w:tc>
        <w:tc>
          <w:tcPr>
            <w:tcW w:type="dxa" w:w="2100"/>
          </w:tcPr>
          <w:p>
            <w:r>
              <w:t xml:space="preserve">Project brief</w:t>
            </w:r>
          </w:p>
        </w:tc>
        <w:tc>
          <w:tcPr>
            <w:tcW w:type="dxa" w:w="2900"/>
          </w:tcPr>
          <w:p>
            <w:r>
              <w:t xml:space="preserve">Obj 4</w:t>
            </w:r>
          </w:p>
        </w:tc>
        <w:tc>
          <w:tcPr>
            <w:tcW w:type="dxa" w:w="1180"/>
          </w:tcPr>
          <w:p>
            <w:r>
              <w:t xml:space="preserve">HITH-51</w:t>
            </w:r>
          </w:p>
        </w:tc>
        <w:tc>
          <w:tcPr>
            <w:tcW w:type="dxa" w:w="3200"/>
          </w:tcPr>
          <w:p>
            <w:r>
              <w:t xml:space="preserve">Failure reason recorded</w:t>
            </w:r>
          </w:p>
        </w:tc>
      </w:tr>
      <w:tr>
        <w:tc>
          <w:tcPr>
            <w:tcW w:type="dxa" w:w="700"/>
          </w:tcPr>
          <w:p>
            <w:r>
              <w:t xml:space="preserve">FR13</w:t>
            </w:r>
          </w:p>
        </w:tc>
        <w:tc>
          <w:tcPr>
            <w:tcW w:type="dxa" w:w="2100"/>
          </w:tcPr>
          <w:p>
            <w:r>
              <w:t xml:space="preserve">Project brief</w:t>
            </w:r>
          </w:p>
        </w:tc>
        <w:tc>
          <w:tcPr>
            <w:tcW w:type="dxa" w:w="2900"/>
          </w:tcPr>
          <w:p>
            <w:r>
              <w:t xml:space="preserve">Obj 4</w:t>
            </w:r>
          </w:p>
        </w:tc>
        <w:tc>
          <w:tcPr>
            <w:tcW w:type="dxa" w:w="1180"/>
          </w:tcPr>
          <w:p>
            <w:r>
              <w:t xml:space="preserve">HITH-52</w:t>
            </w:r>
          </w:p>
        </w:tc>
        <w:tc>
          <w:tcPr>
            <w:tcW w:type="dxa" w:w="3200"/>
          </w:tcPr>
          <w:p>
            <w:r>
              <w:t xml:space="preserve">Summary report generated</w:t>
            </w:r>
          </w:p>
        </w:tc>
      </w:tr>
      <w:tr>
        <w:tc>
          <w:tcPr>
            <w:tcW w:type="dxa" w:w="700"/>
          </w:tcPr>
          <w:p>
            <w:r>
              <w:t xml:space="preserve">NFR1</w:t>
            </w:r>
          </w:p>
        </w:tc>
        <w:tc>
          <w:tcPr>
            <w:tcW w:type="dxa" w:w="2100"/>
          </w:tcPr>
          <w:p>
            <w:r>
              <w:t xml:space="preserve">Team defined</w:t>
            </w:r>
          </w:p>
        </w:tc>
        <w:tc>
          <w:tcPr>
            <w:tcW w:type="dxa" w:w="2900"/>
          </w:tcPr>
          <w:p>
            <w:r>
              <w:t xml:space="preserve">Obj 4</w:t>
            </w:r>
          </w:p>
        </w:tc>
        <w:tc>
          <w:tcPr>
            <w:tcW w:type="dxa" w:w="1180"/>
          </w:tcPr>
          <w:p>
            <w:r>
              <w:t xml:space="preserve">HITH-53</w:t>
            </w:r>
          </w:p>
        </w:tc>
        <w:tc>
          <w:tcPr>
            <w:tcW w:type="dxa" w:w="3200"/>
          </w:tcPr>
          <w:p>
            <w:r>
              <w:t xml:space="preserve">Timed pipeline log</w:t>
            </w:r>
          </w:p>
        </w:tc>
      </w:tr>
      <w:tr>
        <w:tc>
          <w:tcPr>
            <w:tcW w:type="dxa" w:w="700"/>
          </w:tcPr>
          <w:p>
            <w:r>
              <w:t xml:space="preserve">NFR2</w:t>
            </w:r>
          </w:p>
        </w:tc>
        <w:tc>
          <w:tcPr>
            <w:tcW w:type="dxa" w:w="2100"/>
          </w:tcPr>
          <w:p>
            <w:r>
              <w:t xml:space="preserve">Project brief</w:t>
            </w:r>
          </w:p>
        </w:tc>
        <w:tc>
          <w:tcPr>
            <w:tcW w:type="dxa" w:w="2900"/>
          </w:tcPr>
          <w:p>
            <w:r>
              <w:t xml:space="preserve">Obj 2</w:t>
            </w:r>
          </w:p>
        </w:tc>
        <w:tc>
          <w:tcPr>
            <w:tcW w:type="dxa" w:w="1180"/>
          </w:tcPr>
          <w:p>
            <w:r>
              <w:t xml:space="preserve">HITH-54</w:t>
            </w:r>
          </w:p>
        </w:tc>
        <w:tc>
          <w:tcPr>
            <w:tcW w:type="dxa" w:w="3200"/>
          </w:tcPr>
          <w:p>
            <w:r>
              <w:t xml:space="preserve">PII/PHI scan, zero findings</w:t>
            </w:r>
          </w:p>
        </w:tc>
      </w:tr>
      <w:tr>
        <w:tc>
          <w:tcPr>
            <w:tcW w:type="dxa" w:w="700"/>
          </w:tcPr>
          <w:p>
            <w:r>
              <w:t xml:space="preserve">NFR3</w:t>
            </w:r>
          </w:p>
        </w:tc>
        <w:tc>
          <w:tcPr>
            <w:tcW w:type="dxa" w:w="2100"/>
          </w:tcPr>
          <w:p>
            <w:r>
              <w:t xml:space="preserve">Team defined</w:t>
            </w:r>
          </w:p>
        </w:tc>
        <w:tc>
          <w:tcPr>
            <w:tcW w:type="dxa" w:w="2900"/>
          </w:tcPr>
          <w:p>
            <w:r>
              <w:t xml:space="preserve">Governance (cross-cutting)</w:t>
            </w:r>
          </w:p>
        </w:tc>
        <w:tc>
          <w:tcPr>
            <w:tcW w:type="dxa" w:w="1180"/>
          </w:tcPr>
          <w:p>
            <w:r>
              <w:t xml:space="preserve">HITH-55</w:t>
            </w:r>
          </w:p>
        </w:tc>
        <w:tc>
          <w:tcPr>
            <w:tcW w:type="dxa" w:w="3200"/>
          </w:tcPr>
          <w:p>
            <w:r>
              <w:t xml:space="preserve">Access control list review</w:t>
            </w:r>
          </w:p>
        </w:tc>
      </w:tr>
      <w:tr>
        <w:tc>
          <w:tcPr>
            <w:tcW w:type="dxa" w:w="700"/>
          </w:tcPr>
          <w:p>
            <w:r>
              <w:t xml:space="preserve">NFR4</w:t>
            </w:r>
          </w:p>
        </w:tc>
        <w:tc>
          <w:tcPr>
            <w:tcW w:type="dxa" w:w="2100"/>
          </w:tcPr>
          <w:p>
            <w:r>
              <w:t xml:space="preserve">Project brief</w:t>
            </w:r>
          </w:p>
        </w:tc>
        <w:tc>
          <w:tcPr>
            <w:tcW w:type="dxa" w:w="2900"/>
          </w:tcPr>
          <w:p>
            <w:r>
              <w:t xml:space="preserve">Obj 3</w:t>
            </w:r>
          </w:p>
        </w:tc>
        <w:tc>
          <w:tcPr>
            <w:tcW w:type="dxa" w:w="1180"/>
          </w:tcPr>
          <w:p>
            <w:r>
              <w:t xml:space="preserve">HITH-56</w:t>
            </w:r>
          </w:p>
        </w:tc>
        <w:tc>
          <w:tcPr>
            <w:tcW w:type="dxa" w:w="3200"/>
          </w:tcPr>
          <w:p>
            <w:r>
              <w:t xml:space="preserve">Timed recovery test</w:t>
            </w:r>
          </w:p>
        </w:tc>
      </w:tr>
      <w:tr>
        <w:tc>
          <w:tcPr>
            <w:tcW w:type="dxa" w:w="700"/>
          </w:tcPr>
          <w:p>
            <w:r>
              <w:t xml:space="preserve">NFR5</w:t>
            </w:r>
          </w:p>
        </w:tc>
        <w:tc>
          <w:tcPr>
            <w:tcW w:type="dxa" w:w="2100"/>
          </w:tcPr>
          <w:p>
            <w:r>
              <w:t xml:space="preserve">Implementation Guide</w:t>
            </w:r>
          </w:p>
        </w:tc>
        <w:tc>
          <w:tcPr>
            <w:tcW w:type="dxa" w:w="2900"/>
          </w:tcPr>
          <w:p>
            <w:r>
              <w:t xml:space="preserve">Obj 1</w:t>
            </w:r>
          </w:p>
        </w:tc>
        <w:tc>
          <w:tcPr>
            <w:tcW w:type="dxa" w:w="1180"/>
          </w:tcPr>
          <w:p>
            <w:r>
              <w:t xml:space="preserve">HITH-57</w:t>
            </w:r>
          </w:p>
        </w:tc>
        <w:tc>
          <w:tcPr>
            <w:tcW w:type="dxa" w:w="3200"/>
          </w:tcPr>
          <w:p>
            <w:r>
              <w:t xml:space="preserve">FHIR AU Core validation</w:t>
            </w:r>
          </w:p>
        </w:tc>
      </w:tr>
      <w:tr>
        <w:tc>
          <w:tcPr>
            <w:tcW w:type="dxa" w:w="700"/>
          </w:tcPr>
          <w:p>
            <w:r>
              <w:t xml:space="preserve">NFR6</w:t>
            </w:r>
          </w:p>
        </w:tc>
        <w:tc>
          <w:tcPr>
            <w:tcW w:type="dxa" w:w="2100"/>
          </w:tcPr>
          <w:p>
            <w:r>
              <w:t xml:space="preserve">Project brief</w:t>
            </w:r>
          </w:p>
        </w:tc>
        <w:tc>
          <w:tcPr>
            <w:tcW w:type="dxa" w:w="2900"/>
          </w:tcPr>
          <w:p>
            <w:r>
              <w:t xml:space="preserve">Obj 4</w:t>
            </w:r>
          </w:p>
        </w:tc>
        <w:tc>
          <w:tcPr>
            <w:tcW w:type="dxa" w:w="1180"/>
          </w:tcPr>
          <w:p>
            <w:r>
              <w:t xml:space="preserve">HITH-58</w:t>
            </w:r>
          </w:p>
        </w:tc>
        <w:tc>
          <w:tcPr>
            <w:tcW w:type="dxa" w:w="3200"/>
          </w:tcPr>
          <w:p>
            <w:r>
              <w:t xml:space="preserve">New-member walkthrough timing</w:t>
            </w:r>
          </w:p>
        </w:tc>
      </w:tr>
      <w:tr>
        <w:tc>
          <w:tcPr>
            <w:tcW w:type="dxa" w:w="700"/>
          </w:tcPr>
          <w:p>
            <w:r>
              <w:t xml:space="preserve">NFR7</w:t>
            </w:r>
          </w:p>
        </w:tc>
        <w:tc>
          <w:tcPr>
            <w:tcW w:type="dxa" w:w="2100"/>
          </w:tcPr>
          <w:p>
            <w:r>
              <w:t xml:space="preserve">Team defined</w:t>
            </w:r>
          </w:p>
        </w:tc>
        <w:tc>
          <w:tcPr>
            <w:tcW w:type="dxa" w:w="2900"/>
          </w:tcPr>
          <w:p>
            <w:r>
              <w:t xml:space="preserve">Obj 4</w:t>
            </w:r>
          </w:p>
        </w:tc>
        <w:tc>
          <w:tcPr>
            <w:tcW w:type="dxa" w:w="1180"/>
          </w:tcPr>
          <w:p>
            <w:r>
              <w:t xml:space="preserve">HITH-59</w:t>
            </w:r>
          </w:p>
        </w:tc>
        <w:tc>
          <w:tcPr>
            <w:tcW w:type="dxa" w:w="3200"/>
          </w:tcPr>
          <w:p>
            <w:r>
              <w:t xml:space="preserve">Log retention check at checkpoints</w:t>
            </w:r>
          </w:p>
        </w:tc>
      </w:tr>
    </w:tbl>
    <w:p/>
    <w:p>
      <w:pPr>
        <w:pStyle w:val="Heading1"/>
      </w:pPr>
      <w:r>
        <w:rPr>
          <w:b/>
          <w:bCs/>
        </w:rPr>
        <w:t xml:space="preserve">Part 3 — Individual task (Sonam Pelden)</w:t>
      </w:r>
    </w:p>
    <w:p>
      <w:pPr>
        <w:spacing w:after="160"/>
      </w:pPr>
      <w:r>
        <w:t xml:space="preserve">Two requirements substantially improved this week, as BA &amp; Architecture Lead:</w:t>
      </w:r>
    </w:p>
    <w:p>
      <w:pPr>
        <w:pStyle w:val="Heading3"/>
      </w:pPr>
      <w:r>
        <w:rPr>
          <w:b/>
          <w:bCs/>
        </w:rPr>
        <w:t xml:space="preserve">Rewrite 1</w:t>
      </w:r>
    </w:p>
    <w:p>
      <w:pPr>
        <w:spacing w:after="160"/>
      </w:pPr>
      <w:r>
        <w:t xml:space="preserve">Original: "The test harness shall validate the synthetic clinical records against defined data requirements like fields, schema, coding validity SNOMED CT-AU" (FR5).</w:t>
      </w:r>
    </w:p>
    <w:p>
      <w:pPr>
        <w:spacing w:after="160"/>
      </w:pPr>
      <w:r>
        <w:t xml:space="preserve">Revised: split into three atomic requirements — (a) the test harness shall confirm all mandatory fields are present in each synthetic record; (b) the test harness shall confirm each synthetic record conforms to the agreed FHIR resource schema; (c) the test harness shall confirm every SNOMED CT-AU code in a synthetic record is a valid, current code in the SNOMED CT-AU release in use.</w:t>
      </w:r>
    </w:p>
    <w:p>
      <w:pPr>
        <w:spacing w:after="160"/>
      </w:pPr>
      <w:r>
        <w:t xml:space="preserve">Why stronger: the original requirement bundled three independent checks into one sentence using the informal word "like," so it was not singular and could not be marked pass or fail as a whole — a record could pass schema validation but fail coding validity, with no way to report which part failed. Splitting it into three atomic requirements makes each one independently testable and traceable to a specific acceptance check, and removes the ambiguity of "like," which read as an incomplete list rather than a bounded requirement.</w:t>
      </w:r>
    </w:p>
    <w:p>
      <w:pPr>
        <w:pStyle w:val="Heading3"/>
      </w:pPr>
      <w:r>
        <w:rPr>
          <w:b/>
          <w:bCs/>
        </w:rPr>
        <w:t xml:space="preserve">Rewrite 2</w:t>
      </w:r>
    </w:p>
    <w:p>
      <w:pPr>
        <w:spacing w:after="160"/>
      </w:pPr>
      <w:r>
        <w:t xml:space="preserve">Original (early elicitation note): "The system must be secure."</w:t>
      </w:r>
    </w:p>
    <w:p>
      <w:pPr>
        <w:spacing w:after="160"/>
      </w:pPr>
      <w:r>
        <w:t xml:space="preserve">Revised: "The test harness shall contain zero real patient-identifiable data at any stage, verified by an automated scan of the synthetic dataset before each test run" (NFR2), supported by a separate access-control requirement restricting the environment to authenticated team members and the mentor (NFR3).</w:t>
      </w:r>
    </w:p>
    <w:p>
      <w:pPr>
        <w:spacing w:after="160"/>
      </w:pPr>
      <w:r>
        <w:t xml:space="preserve">Why stronger: "secure" is a classic vague term with no agreed meaning — it could refer to data privacy, authentication, encryption or standards conformance, and nobody could test whether it was met. The revised wording names a specific, checkable condition (zero PII/PHI, confirmed by an automated scan) and separates out access control as its own requirement, so each can be assigned a distinct owner, priority and acceptance test rather than being hidden inside one unfalsifiable statement.</w:t>
      </w:r>
    </w:p>
    <w:p/>
    <w:p>
      <w:pPr>
        <w:pStyle w:val="Heading1"/>
      </w:pPr>
      <w:r>
        <w:rPr>
          <w:b/>
          <w:bCs/>
        </w:rPr>
        <w:t xml:space="preserve">Teams Classroom submission — before leaving class</w:t>
      </w:r>
    </w:p>
    <w:p>
      <w:pPr>
        <w:spacing w:after="160"/>
      </w:pPr>
      <w:r>
        <w:t xml:space="preserve">☐ Elicitation plan and interview/workshop questions</w:t>
      </w:r>
    </w:p>
    <w:p>
      <w:pPr>
        <w:spacing w:after="160"/>
      </w:pPr>
      <w:r>
        <w:t xml:space="preserve">☐ Stakeholder requirement register</w:t>
      </w:r>
    </w:p>
    <w:p>
      <w:pPr>
        <w:spacing w:after="160"/>
      </w:pPr>
      <w:r>
        <w:t xml:space="preserve">☐ Functional and non-functional requirement lists</w:t>
      </w:r>
    </w:p>
    <w:p>
      <w:pPr>
        <w:spacing w:after="160"/>
      </w:pPr>
      <w:r>
        <w:t xml:space="preserve">☐ MoSCoW prioritisation</w:t>
      </w:r>
    </w:p>
    <w:p>
      <w:pPr>
        <w:spacing w:after="160"/>
      </w:pPr>
      <w:r>
        <w:t xml:space="preserve">☐ Assumptions, constraints and conflicts</w:t>
      </w:r>
    </w:p>
    <w:p>
      <w:pPr>
        <w:spacing w:after="160"/>
      </w:pPr>
      <w:r>
        <w:t xml:space="preserve">☐ Traceability matrix</w:t>
      </w:r>
    </w:p>
    <w:p>
      <w:pPr>
        <w:spacing w:after="160"/>
      </w:pPr>
      <w:r>
        <w:t xml:space="preserve">☐ Each member's two requirement rewrites and explanations (outstanding: Charity, Rikesh, Zubair)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2026-08-22T11:34:40.823Z</dcterms:created>
  <dcterms:modified xsi:type="dcterms:W3CDTF">2026-08-22T11:34:40.837Z</dcterms:modified>
</cp:coreProperties>
</file>

<file path=docProps/custom.xml><?xml version="1.0" encoding="utf-8"?>
<Properties xmlns="http://schemas.openxmlformats.org/officeDocument/2006/custom-properties" xmlns:vt="http://schemas.openxmlformats.org/officeDocument/2006/docPropsVTypes"/>
</file>