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332"/>
      </w:tblGrid>
      <w:tr w:rsidR="002D1DFA" w:rsidRPr="002D1DFA" w14:paraId="266A54A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E2716D6" w14:textId="77777777" w:rsidR="002D1DFA" w:rsidRPr="002D1DFA" w:rsidRDefault="002D1DFA" w:rsidP="002D1DFA">
            <w:pPr>
              <w:rPr>
                <w:b/>
                <w:bCs/>
              </w:rPr>
            </w:pPr>
            <w:r w:rsidRPr="002D1DFA">
              <w:rPr>
                <w:b/>
                <w:bCs/>
              </w:rPr>
              <w:t>Framework / Standard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CA3E3E3" w14:textId="77777777" w:rsidR="002D1DFA" w:rsidRPr="002D1DFA" w:rsidRDefault="002D1DFA" w:rsidP="002D1DFA">
            <w:pPr>
              <w:rPr>
                <w:b/>
                <w:bCs/>
              </w:rPr>
            </w:pPr>
            <w:r w:rsidRPr="002D1DFA">
              <w:rPr>
                <w:b/>
                <w:bCs/>
              </w:rPr>
              <w:t>Status &amp; Scope</w:t>
            </w:r>
          </w:p>
        </w:tc>
      </w:tr>
      <w:tr w:rsidR="002D1DFA" w:rsidRPr="002D1DFA" w14:paraId="0281044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83D842C" w14:textId="77777777" w:rsidR="002D1DFA" w:rsidRPr="002D1DFA" w:rsidRDefault="002D1DFA" w:rsidP="002D1DFA">
            <w:r w:rsidRPr="002D1DFA">
              <w:rPr>
                <w:b/>
                <w:bCs/>
              </w:rPr>
              <w:t>ACSC Essential Eight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B04641A" w14:textId="77777777" w:rsidR="002D1DFA" w:rsidRPr="002D1DFA" w:rsidRDefault="002D1DFA" w:rsidP="002D1DFA">
            <w:r w:rsidRPr="002D1DFA">
              <w:t>Fully supports all 8 cyber mitigation strategies outlined by the Australian Cyber Security Centre.</w:t>
            </w:r>
          </w:p>
        </w:tc>
      </w:tr>
      <w:tr w:rsidR="002D1DFA" w:rsidRPr="002D1DFA" w14:paraId="7750127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A8EC30F" w14:textId="77777777" w:rsidR="002D1DFA" w:rsidRPr="002D1DFA" w:rsidRDefault="002D1DFA" w:rsidP="002D1DFA">
            <w:r w:rsidRPr="002D1DFA">
              <w:rPr>
                <w:b/>
                <w:bCs/>
              </w:rPr>
              <w:t>IRAP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1DDDC0F" w14:textId="77777777" w:rsidR="002D1DFA" w:rsidRPr="002D1DFA" w:rsidRDefault="002D1DFA" w:rsidP="002D1DFA">
            <w:r w:rsidRPr="002D1DFA">
              <w:t xml:space="preserve">Assessment is currently </w:t>
            </w:r>
            <w:r w:rsidRPr="002D1DFA">
              <w:rPr>
                <w:b/>
                <w:bCs/>
              </w:rPr>
              <w:t>In Progress</w:t>
            </w:r>
            <w:r w:rsidRPr="002D1DFA">
              <w:t xml:space="preserve"> to handle Australian Government PROTECTED-level data.</w:t>
            </w:r>
          </w:p>
        </w:tc>
      </w:tr>
      <w:tr w:rsidR="002D1DFA" w:rsidRPr="002D1DFA" w14:paraId="475A097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5E1A2CB" w14:textId="77777777" w:rsidR="002D1DFA" w:rsidRPr="002D1DFA" w:rsidRDefault="002D1DFA" w:rsidP="002D1DFA">
            <w:r w:rsidRPr="002D1DFA">
              <w:rPr>
                <w:b/>
                <w:bCs/>
              </w:rPr>
              <w:t>HIPAA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C2F22E2" w14:textId="77777777" w:rsidR="002D1DFA" w:rsidRPr="002D1DFA" w:rsidRDefault="002D1DFA" w:rsidP="002D1DFA">
            <w:r w:rsidRPr="002D1DFA">
              <w:t>Fully compliant with U.S. health data privacy regulations.</w:t>
            </w:r>
          </w:p>
        </w:tc>
      </w:tr>
      <w:tr w:rsidR="002D1DFA" w:rsidRPr="002D1DFA" w14:paraId="39E7766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42A4AD6" w14:textId="77777777" w:rsidR="002D1DFA" w:rsidRPr="002D1DFA" w:rsidRDefault="002D1DFA" w:rsidP="002D1DFA">
            <w:r w:rsidRPr="002D1DFA">
              <w:rPr>
                <w:b/>
                <w:bCs/>
              </w:rPr>
              <w:t>GDPR &amp; PIPEDA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585D274" w14:textId="77777777" w:rsidR="002D1DFA" w:rsidRPr="002D1DFA" w:rsidRDefault="002D1DFA" w:rsidP="002D1DFA">
            <w:r w:rsidRPr="002D1DFA">
              <w:t>Fully compliant with European and Canadian privacy mandates.</w:t>
            </w:r>
          </w:p>
        </w:tc>
      </w:tr>
      <w:tr w:rsidR="002D1DFA" w:rsidRPr="002D1DFA" w14:paraId="5C3EC76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FB5DAC0" w14:textId="77777777" w:rsidR="002D1DFA" w:rsidRPr="002D1DFA" w:rsidRDefault="002D1DFA" w:rsidP="002D1DFA">
            <w:r w:rsidRPr="002D1DFA">
              <w:rPr>
                <w:b/>
                <w:bCs/>
              </w:rPr>
              <w:t>Australian Privacy Principles (APP)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E9604B0" w14:textId="77777777" w:rsidR="002D1DFA" w:rsidRPr="002D1DFA" w:rsidRDefault="002D1DFA" w:rsidP="002D1DFA">
            <w:r w:rsidRPr="002D1DFA">
              <w:t>Completely compliant with all 13 APPs under the Privacy Act 1988.</w:t>
            </w:r>
          </w:p>
        </w:tc>
      </w:tr>
    </w:tbl>
    <w:p w14:paraId="62A4E6C9" w14:textId="10787E5A" w:rsidR="002D1DFA" w:rsidRPr="00F837D0" w:rsidRDefault="00F837D0" w:rsidP="00FE33E0">
      <w:pPr>
        <w:rPr>
          <w:b/>
          <w:bCs/>
          <w:sz w:val="28"/>
          <w:szCs w:val="28"/>
        </w:rPr>
      </w:pPr>
      <w:r w:rsidRPr="00F837D0">
        <w:rPr>
          <w:b/>
          <w:bCs/>
          <w:sz w:val="28"/>
          <w:szCs w:val="28"/>
        </w:rPr>
        <w:t>requirements</w:t>
      </w:r>
    </w:p>
    <w:p w14:paraId="740544E2" w14:textId="5C392618" w:rsidR="00DB21EA" w:rsidRPr="00F837D0" w:rsidRDefault="009914A5" w:rsidP="00FE33E0">
      <w:pPr>
        <w:rPr>
          <w:highlight w:val="yellow"/>
        </w:rPr>
      </w:pPr>
      <w:r w:rsidRPr="00F837D0">
        <w:rPr>
          <w:highlight w:val="yellow"/>
        </w:rPr>
        <w:t>Table needs caption and name of table</w:t>
      </w:r>
    </w:p>
    <w:p w14:paraId="59C8B600" w14:textId="41751026" w:rsidR="00D1040F" w:rsidRDefault="00D1040F" w:rsidP="00FE33E0">
      <w:r w:rsidRPr="00F837D0">
        <w:rPr>
          <w:highlight w:val="yellow"/>
        </w:rPr>
        <w:t>INCLUDE sitemap and wireframes</w:t>
      </w:r>
    </w:p>
    <w:p w14:paraId="5713C72D" w14:textId="77777777" w:rsidR="009914A5" w:rsidRDefault="009914A5" w:rsidP="00FE33E0"/>
    <w:p w14:paraId="12C19CF2" w14:textId="6096EEAD" w:rsidR="003F2777" w:rsidRDefault="00BD1AE4" w:rsidP="00FE33E0">
      <w:r>
        <w:t>Current As-is</w:t>
      </w:r>
    </w:p>
    <w:p w14:paraId="440E80B3" w14:textId="13CCCFE9" w:rsidR="00852BFD" w:rsidRDefault="00852BFD" w:rsidP="00FE33E0">
      <w:r w:rsidRPr="00852BFD">
        <w:drawing>
          <wp:inline distT="0" distB="0" distL="0" distR="0" wp14:anchorId="3350E4E7" wp14:editId="64475201">
            <wp:extent cx="5731510" cy="1761490"/>
            <wp:effectExtent l="0" t="0" r="2540" b="0"/>
            <wp:docPr id="205946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60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AEDF" w14:textId="77777777" w:rsidR="00BD1AE4" w:rsidRPr="00FE33E0" w:rsidRDefault="00BD1AE4" w:rsidP="00FE33E0"/>
    <w:p w14:paraId="462B3FB2" w14:textId="7D81BD82" w:rsidR="00EB7999" w:rsidRDefault="003068EB">
      <w:r>
        <w:t>Comparative</w:t>
      </w:r>
    </w:p>
    <w:p w14:paraId="669EEB00" w14:textId="77777777" w:rsidR="00DE6638" w:rsidRDefault="003068EB">
      <w:r>
        <w:t>Inferno AU core testing kits</w:t>
      </w:r>
      <w:r w:rsidR="00DE6638">
        <w:fldChar w:fldCharType="begin"/>
      </w:r>
      <w:r w:rsidR="00DE6638">
        <w:instrText xml:space="preserve"> ADDIN EN.CITE &lt;EndNote&gt;&lt;Cite&gt;&lt;Author&gt;Hornback&lt;/Author&gt;&lt;Year&gt;2025&lt;/Year&gt;&lt;RecNum&gt;4&lt;/RecNum&gt;&lt;DisplayText&gt;(Hornback, Marteau et al. 2025)&lt;/DisplayText&gt;&lt;record&gt;&lt;rec-number&gt;4&lt;/rec-number&gt;&lt;foreign-keys&gt;&lt;key app="EN" db-id="x5dad5sfuzf5zoevwvk5v9fpez9svwtsr2pz" timestamp="1790554514"&gt;4&lt;/key&gt;&lt;/foreign-keys&gt;&lt;ref-type name="Journal Article"&gt;17&lt;/ref-type&gt;&lt;contributors&gt;&lt;authors&gt;&lt;author&gt;Hornback, Andrew&lt;/author&gt;&lt;author&gt;Marteau, Benoit&lt;/author&gt;&lt;author&gt;Tan, Shaun QY&lt;/author&gt;&lt;author&gt;Kim, Kyungbeom&lt;/author&gt;&lt;author&gt;Patil, Oankar&lt;/author&gt;&lt;author&gt;Traynelis, Joshua&lt;/author&gt;&lt;author&gt;Zhu, Yuanda&lt;/author&gt;&lt;author&gt;Giuste, Felipe&lt;/author&gt;&lt;author&gt;Wang, May D&lt;/author&gt;&lt;/authors&gt;&lt;/contributors&gt;&lt;titles&gt;&lt;title&gt;FHIR in focus: enabling biomedical data harmonization for intelligent healthcare systems&lt;/title&gt;&lt;secondary-title&gt;IEEE Reviews in Biomedical Engineering&lt;/secondary-title&gt;&lt;/titles&gt;&lt;periodical&gt;&lt;full-title&gt;IEEE Reviews in Biomedical Engineering&lt;/full-title&gt;&lt;/periodical&gt;&lt;dates&gt;&lt;year&gt;2025&lt;/year&gt;&lt;/dates&gt;&lt;isbn&gt;1937-3333&lt;/isbn&gt;&lt;urls&gt;&lt;/urls&gt;&lt;/record&gt;&lt;/Cite&gt;&lt;/EndNote&gt;</w:instrText>
      </w:r>
      <w:r w:rsidR="00DE6638">
        <w:fldChar w:fldCharType="separate"/>
      </w:r>
      <w:r w:rsidR="00DE6638">
        <w:rPr>
          <w:noProof/>
        </w:rPr>
        <w:t>(Hornback, Marteau et al. 2025)</w:t>
      </w:r>
      <w:r w:rsidR="00DE6638">
        <w:fldChar w:fldCharType="end"/>
      </w:r>
    </w:p>
    <w:p w14:paraId="1B859DA3" w14:textId="4B4F790E" w:rsidR="00DE6638" w:rsidRDefault="009524D5">
      <w:r w:rsidRPr="009524D5">
        <w:t>FHIR Lab Sandbox</w:t>
      </w:r>
    </w:p>
    <w:p w14:paraId="62CA0835" w14:textId="77777777" w:rsidR="00DE6638" w:rsidRDefault="00DE6638" w:rsidP="00DE6638">
      <w:pPr>
        <w:jc w:val="both"/>
      </w:pPr>
    </w:p>
    <w:p w14:paraId="7D4DA1AE" w14:textId="77777777" w:rsidR="00DE6638" w:rsidRPr="002D1DFA" w:rsidRDefault="00DE6638" w:rsidP="00DE6638">
      <w:r>
        <w:t>Reference</w:t>
      </w:r>
    </w:p>
    <w:p w14:paraId="26408BD8" w14:textId="77777777" w:rsidR="00DE6638" w:rsidRDefault="00DE6638" w:rsidP="00DE6638">
      <w:r w:rsidRPr="00FE33E0">
        <w:rPr>
          <w:i/>
          <w:iCs/>
        </w:rPr>
        <w:t>Security at MedTalk</w:t>
      </w:r>
      <w:r w:rsidRPr="00FE33E0">
        <w:t>. (2026). MedTalk AI. https://medtalk.co/security</w:t>
      </w:r>
    </w:p>
    <w:p w14:paraId="22ED2D43" w14:textId="77777777" w:rsidR="00DE6638" w:rsidRPr="00DE6638" w:rsidRDefault="00DE6638" w:rsidP="00DE6638">
      <w:pPr>
        <w:pStyle w:val="EndNoteBibliography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DE6638">
        <w:t xml:space="preserve">Hornback, A., et al. (2025). "FHIR in focus: enabling biomedical data harmonization for intelligent healthcare systems." </w:t>
      </w:r>
      <w:r w:rsidRPr="00DE6638">
        <w:rPr>
          <w:u w:val="single"/>
        </w:rPr>
        <w:t>IEEE Reviews in Biomedical Engineering</w:t>
      </w:r>
      <w:r w:rsidRPr="00DE6638">
        <w:t>.</w:t>
      </w:r>
    </w:p>
    <w:p w14:paraId="708B8C71" w14:textId="77777777" w:rsidR="00DE6638" w:rsidRPr="00DE6638" w:rsidRDefault="00DE6638" w:rsidP="00DE6638">
      <w:pPr>
        <w:pStyle w:val="EndNoteBibliography"/>
        <w:ind w:left="720" w:hanging="720"/>
      </w:pPr>
      <w:r w:rsidRPr="00DE6638">
        <w:tab/>
      </w:r>
    </w:p>
    <w:p w14:paraId="1BD22178" w14:textId="7FEE359C" w:rsidR="003068EB" w:rsidRDefault="00DE6638">
      <w:r>
        <w:fldChar w:fldCharType="end"/>
      </w:r>
    </w:p>
    <w:sectPr w:rsidR="00306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5dad5sfuzf5zoevwvk5v9fpez9svwtsr2pz&quot;&gt;My EndNote Library&lt;record-ids&gt;&lt;item&gt;4&lt;/item&gt;&lt;/record-ids&gt;&lt;/item&gt;&lt;/Libraries&gt;"/>
  </w:docVars>
  <w:rsids>
    <w:rsidRoot w:val="00375D9F"/>
    <w:rsid w:val="00041845"/>
    <w:rsid w:val="002D1DFA"/>
    <w:rsid w:val="003068EB"/>
    <w:rsid w:val="00334012"/>
    <w:rsid w:val="00375D9F"/>
    <w:rsid w:val="003F2777"/>
    <w:rsid w:val="00526D4A"/>
    <w:rsid w:val="00654A0F"/>
    <w:rsid w:val="008061A9"/>
    <w:rsid w:val="00852BFD"/>
    <w:rsid w:val="009524D5"/>
    <w:rsid w:val="009914A5"/>
    <w:rsid w:val="00992EC3"/>
    <w:rsid w:val="00992F54"/>
    <w:rsid w:val="00B91DDF"/>
    <w:rsid w:val="00BD1AE4"/>
    <w:rsid w:val="00D1040F"/>
    <w:rsid w:val="00DB21EA"/>
    <w:rsid w:val="00DE6638"/>
    <w:rsid w:val="00EB7999"/>
    <w:rsid w:val="00F80E22"/>
    <w:rsid w:val="00F837D0"/>
    <w:rsid w:val="00FE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3BFF"/>
  <w15:chartTrackingRefBased/>
  <w15:docId w15:val="{47724C35-EDB1-4AA7-AB47-8554E1D2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D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1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1EA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DE6638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DE6638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DE6638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DE6638"/>
    <w:rPr>
      <w:rFonts w:ascii="Aptos" w:hAnsi="Aptos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Gwese</dc:creator>
  <cp:keywords/>
  <dc:description/>
  <cp:lastModifiedBy>Charity Gwese</cp:lastModifiedBy>
  <cp:revision>17</cp:revision>
  <dcterms:created xsi:type="dcterms:W3CDTF">2026-09-25T11:34:00Z</dcterms:created>
  <dcterms:modified xsi:type="dcterms:W3CDTF">2026-09-28T01:32:00Z</dcterms:modified>
</cp:coreProperties>
</file>