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D9488"/>
          <w:sz w:val="72"/>
        </w:rPr>
        <w:t>ChatHealthy.ai</w:t>
      </w:r>
    </w:p>
    <w:p>
      <w:pPr>
        <w:jc w:val="center"/>
      </w:pPr>
      <w:r>
        <w:rPr>
          <w:b/>
          <w:sz w:val="32"/>
        </w:rPr>
        <w:t>Find Care. Evaluate Care. Discuss Care.</w:t>
      </w:r>
    </w:p>
    <w:p>
      <w:pPr>
        <w:jc w:val="center"/>
      </w:pPr>
      <w:r>
        <w:rPr>
          <w:sz w:val="24"/>
        </w:rPr>
        <w:t>Business Architecture</w:t>
      </w:r>
    </w:p>
    <w:p/>
    <w:p>
      <w:pPr>
        <w:jc w:val="both"/>
      </w:pPr>
      <w:r>
        <w:rPr>
          <w:i/>
          <w:sz w:val="22"/>
        </w:rPr>
        <w:t>ChatHealthy.ai provides the data, tools, and an AI-enlightened space to empower regular people to prevail over the broken healthcare system. Whatever a person's circumstances might be, they deserve the best possible care, at the best value. ChatHealthy.ai gives them the platform to get it. By presenting and evaluating care options but never giving medical advice, the platform allows families, individuals, and friends to collaborate with the most powerful AI models in order to choose the best provider they can have.</w:t>
      </w:r>
    </w:p>
    <w:p/>
    <w:p/>
    <w:p/>
    <w:p>
      <w:pPr>
        <w:jc w:val="center"/>
      </w:pPr>
      <w:r>
        <w:rPr>
          <w:sz w:val="18"/>
        </w:rPr>
        <w:t>Copyright 2026 Skip Snow. All rights reserved.</w:t>
      </w:r>
    </w:p>
    <w:p>
      <w:r>
        <w:br w:type="page"/>
      </w:r>
    </w:p>
    <w:p>
      <w:pPr>
        <w:pStyle w:val="Heading1"/>
      </w:pPr>
      <w:r>
        <w:t>Executive Summary</w:t>
      </w:r>
    </w:p>
    <w:p>
      <w:r>
        <w:t>Healthcare is the largest consumer market in the world, yet the individual remains the least empowered participant. Decisions are fragmented across search, opaque quality data, and isolated conversations with no coordination. The result is predictable: overpayment, underperformance, and preventable harm. ChatHealthy.ai exists because this gap is not a feature of the system — it is the system’s failure point.</w:t>
      </w:r>
    </w:p>
    <w:p>
      <w:r>
        <w:t>ChatHealthy.ai unifies the healthcare decision process into a single consumer-controlled environment: find care, evaluate it with real quality signals, and decide collaboratively with people and AI. This is not another point solution. It is the decision layer sitting above the entire healthcare system, where choices are actually made. Once this layer exists, control shifts from institutions to individuals.</w:t>
      </w:r>
    </w:p>
    <w:p>
      <w:r>
        <w:t>The business model follows the control point. We own the decision room. AI companies, not patients, pay to participate in it. As healthcare decisions become AI-assisted and collaborative by default, ChatHealthy.ai becomes the gateway through which those decisions flow. This is not a feature set. It is inevitable infrastructure.</w:t>
      </w:r>
    </w:p>
    <w:p/>
    <w:p>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value_chain.png"/>
                    <pic:cNvPicPr/>
                  </pic:nvPicPr>
                  <pic:blipFill>
                    <a:blip r:embed="rId9"/>
                    <a:stretch>
                      <a:fillRect/>
                    </a:stretch>
                  </pic:blipFill>
                  <pic:spPr>
                    <a:xfrm>
                      <a:off x="0" y="0"/>
                      <a:ext cx="5029200" cy="5029200"/>
                    </a:xfrm>
                    <a:prstGeom prst="rect"/>
                  </pic:spPr>
                </pic:pic>
              </a:graphicData>
            </a:graphic>
          </wp:inline>
        </w:drawing>
      </w:r>
    </w:p>
    <w:p>
      <w:pPr>
        <w:jc w:val="center"/>
      </w:pPr>
      <w:r>
        <w:rPr>
          <w:i/>
          <w:color w:val="646464"/>
          <w:sz w:val="16"/>
        </w:rPr>
        <w:t>Fig. 1: The consumer orchestrates the care journey. Three components serve the decision, not a linear pipeline.</w:t>
      </w:r>
    </w:p>
    <w:p>
      <w:r>
        <w:br w:type="page"/>
      </w:r>
    </w:p>
    <w:p>
      <w:pPr>
        <w:pStyle w:val="Heading1"/>
      </w:pPr>
      <w:r>
        <w:t>Platform Architecture</w:t>
      </w:r>
    </w:p>
    <w:p>
      <w:r>
        <w:t>ChatHealthy.ai is built on three business components. The consumer is at the center, orchestrating the relationship between all three. This is not a sequential journey -- it is a decision-making environment.</w:t>
      </w:r>
    </w:p>
    <w:p>
      <w:r>
        <w:drawing>
          <wp:inline xmlns:a="http://schemas.openxmlformats.org/drawingml/2006/main" xmlns:pic="http://schemas.openxmlformats.org/drawingml/2006/picture">
            <wp:extent cx="5029200" cy="2916091"/>
            <wp:docPr id="2" name="Picture 2"/>
            <wp:cNvGraphicFramePr>
              <a:graphicFrameLocks noChangeAspect="1"/>
            </wp:cNvGraphicFramePr>
            <a:graphic>
              <a:graphicData uri="http://schemas.openxmlformats.org/drawingml/2006/picture">
                <pic:pic>
                  <pic:nvPicPr>
                    <pic:cNvPr id="0" name="component_diagram.png"/>
                    <pic:cNvPicPr/>
                  </pic:nvPicPr>
                  <pic:blipFill>
                    <a:blip r:embed="rId10"/>
                    <a:stretch>
                      <a:fillRect/>
                    </a:stretch>
                  </pic:blipFill>
                  <pic:spPr>
                    <a:xfrm>
                      <a:off x="0" y="0"/>
                      <a:ext cx="5029200" cy="2916091"/>
                    </a:xfrm>
                    <a:prstGeom prst="rect"/>
                  </pic:spPr>
                </pic:pic>
              </a:graphicData>
            </a:graphic>
          </wp:inline>
        </w:drawing>
      </w:r>
    </w:p>
    <w:p>
      <w:pPr>
        <w:jc w:val="center"/>
      </w:pPr>
      <w:r>
        <w:rPr>
          <w:i/>
          <w:color w:val="646464"/>
          <w:sz w:val="16"/>
        </w:rPr>
        <w:t>Fig. 2: Three components share a governance layer and data infrastructure.</w:t>
      </w:r>
    </w:p>
    <w:p>
      <w:r>
        <w:br w:type="page"/>
      </w:r>
    </w:p>
    <w:p>
      <w:pPr>
        <w:pStyle w:val="Heading1"/>
      </w:pPr>
      <w:r>
        <w:t>find_care</w:t>
      </w:r>
    </w:p>
    <w:p>
      <w:r>
        <w:t>The entry point to the healthcare system, redesigned for clarity and control. Users discover providers, specialties, and care pathways without friction or bias.</w:t>
      </w:r>
    </w:p>
    <w:p>
      <w:pPr>
        <w:pStyle w:val="Heading2"/>
      </w:pPr>
      <w:r>
        <w:t>Capabilities</w:t>
      </w:r>
    </w:p>
    <w:p>
      <w:pPr>
        <w:pStyle w:val="ListBullet"/>
      </w:pPr>
      <w:r>
        <w:t>Provider and specialty discovery</w:t>
      </w:r>
    </w:p>
    <w:p>
      <w:pPr>
        <w:pStyle w:val="ListBullet"/>
      </w:pPr>
      <w:r>
        <w:t>Navigation of care pathways</w:t>
      </w:r>
    </w:p>
    <w:p>
      <w:pPr>
        <w:pStyle w:val="ListBullet"/>
      </w:pPr>
      <w:r>
        <w:t>Geographic and access-based filtering</w:t>
      </w:r>
    </w:p>
    <w:p>
      <w:pPr>
        <w:pStyle w:val="ListBullet"/>
      </w:pPr>
      <w:r>
        <w:t>Integrated entry into evaluation and discussion</w:t>
      </w:r>
    </w:p>
    <w:p>
      <w:r>
        <w:rPr>
          <w:b/>
        </w:rPr>
        <w:t>Pricing: Free forever</w:t>
      </w:r>
    </w:p>
    <w:p/>
    <w:p>
      <w:r>
        <w:drawing>
          <wp:inline xmlns:a="http://schemas.openxmlformats.org/drawingml/2006/main" xmlns:pic="http://schemas.openxmlformats.org/drawingml/2006/picture">
            <wp:extent cx="5029200" cy="3689271"/>
            <wp:docPr id="3" name="Picture 3"/>
            <wp:cNvGraphicFramePr>
              <a:graphicFrameLocks noChangeAspect="1"/>
            </wp:cNvGraphicFramePr>
            <a:graphic>
              <a:graphicData uri="http://schemas.openxmlformats.org/drawingml/2006/picture">
                <pic:pic>
                  <pic:nvPicPr>
                    <pic:cNvPr id="0" name="find_care_diagram.png"/>
                    <pic:cNvPicPr/>
                  </pic:nvPicPr>
                  <pic:blipFill>
                    <a:blip r:embed="rId11"/>
                    <a:stretch>
                      <a:fillRect/>
                    </a:stretch>
                  </pic:blipFill>
                  <pic:spPr>
                    <a:xfrm>
                      <a:off x="0" y="0"/>
                      <a:ext cx="5029200" cy="3689271"/>
                    </a:xfrm>
                    <a:prstGeom prst="rect"/>
                  </pic:spPr>
                </pic:pic>
              </a:graphicData>
            </a:graphic>
          </wp:inline>
        </w:drawing>
      </w:r>
    </w:p>
    <w:p>
      <w:pPr>
        <w:jc w:val="center"/>
      </w:pPr>
      <w:r>
        <w:rPr>
          <w:i/>
          <w:color w:val="646464"/>
          <w:sz w:val="16"/>
        </w:rPr>
        <w:t>Fig. 3: Chaos in, clarity out. The AI engine translates natural language into precise provider matches.</w:t>
      </w:r>
    </w:p>
    <w:p>
      <w:r>
        <w:br w:type="page"/>
      </w:r>
    </w:p>
    <w:p>
      <w:pPr>
        <w:pStyle w:val="Heading1"/>
      </w:pPr>
      <w:r>
        <w:t>evaluate_care</w:t>
      </w:r>
    </w:p>
    <w:p>
      <w:r>
        <w:t>Transforms fragmented public and clinical data into clear, consumer-comprehensible quality signals using proprietary AI synthesis.</w:t>
      </w:r>
    </w:p>
    <w:p>
      <w:pPr>
        <w:pStyle w:val="Heading2"/>
      </w:pPr>
      <w:r>
        <w:t>Capabilities</w:t>
      </w:r>
    </w:p>
    <w:p>
      <w:pPr>
        <w:pStyle w:val="ListBullet"/>
      </w:pPr>
      <w:r>
        <w:t>Clinical trials discovery and matching</w:t>
      </w:r>
    </w:p>
    <w:p>
      <w:pPr>
        <w:pStyle w:val="ListBullet"/>
      </w:pPr>
      <w:r>
        <w:t>Provider credential analysis</w:t>
      </w:r>
    </w:p>
    <w:p>
      <w:pPr>
        <w:pStyle w:val="ListBullet"/>
      </w:pPr>
      <w:r>
        <w:t>Quality signal aggregation and interpretation</w:t>
      </w:r>
    </w:p>
    <w:p>
      <w:pPr>
        <w:pStyle w:val="ListBullet"/>
      </w:pPr>
      <w:r>
        <w:t>Comparative provider evaluation</w:t>
      </w:r>
    </w:p>
    <w:p>
      <w:r>
        <w:rPr>
          <w:b/>
        </w:rPr>
        <w:t>Pricing: Free initially, with premium paid tiers for advanced insights and deeper analysis</w:t>
      </w:r>
    </w:p>
    <w:p/>
    <w:p>
      <w:r>
        <w:drawing>
          <wp:inline xmlns:a="http://schemas.openxmlformats.org/drawingml/2006/main" xmlns:pic="http://schemas.openxmlformats.org/drawingml/2006/picture">
            <wp:extent cx="5029200" cy="2921011"/>
            <wp:docPr id="4" name="Picture 4"/>
            <wp:cNvGraphicFramePr>
              <a:graphicFrameLocks noChangeAspect="1"/>
            </wp:cNvGraphicFramePr>
            <a:graphic>
              <a:graphicData uri="http://schemas.openxmlformats.org/drawingml/2006/picture">
                <pic:pic>
                  <pic:nvPicPr>
                    <pic:cNvPr id="0" name="evaluate_care_diagram.png"/>
                    <pic:cNvPicPr/>
                  </pic:nvPicPr>
                  <pic:blipFill>
                    <a:blip r:embed="rId12"/>
                    <a:stretch>
                      <a:fillRect/>
                    </a:stretch>
                  </pic:blipFill>
                  <pic:spPr>
                    <a:xfrm>
                      <a:off x="0" y="0"/>
                      <a:ext cx="5029200" cy="2921011"/>
                    </a:xfrm>
                    <a:prstGeom prst="rect"/>
                  </pic:spPr>
                </pic:pic>
              </a:graphicData>
            </a:graphic>
          </wp:inline>
        </w:drawing>
      </w:r>
    </w:p>
    <w:p>
      <w:pPr>
        <w:jc w:val="center"/>
      </w:pPr>
      <w:r>
        <w:rPr>
          <w:i/>
          <w:color w:val="646464"/>
          <w:sz w:val="16"/>
        </w:rPr>
        <w:t>Fig. 4: Public data flows through a graph network. The consumer tunes the algorithm. Patent pending.</w:t>
      </w:r>
    </w:p>
    <w:p>
      <w:r>
        <w:br w:type="page"/>
      </w:r>
    </w:p>
    <w:p>
      <w:pPr>
        <w:pStyle w:val="Heading1"/>
      </w:pPr>
      <w:r>
        <w:t>discuss_care</w:t>
      </w:r>
    </w:p>
    <w:p>
      <w:r>
        <w:t>A real-time, multi-participant decision environment where individuals bring family, caregivers, and multiple AI models into a single structured conversation.</w:t>
      </w:r>
    </w:p>
    <w:p>
      <w:pPr>
        <w:pStyle w:val="Heading2"/>
      </w:pPr>
      <w:r>
        <w:t>Capabilities</w:t>
      </w:r>
    </w:p>
    <w:p>
      <w:pPr>
        <w:pStyle w:val="ListBullet"/>
      </w:pPr>
      <w:r>
        <w:t>Multi-human, multi-AI shared sessions</w:t>
      </w:r>
    </w:p>
    <w:p>
      <w:pPr>
        <w:pStyle w:val="ListBullet"/>
      </w:pPr>
      <w:r>
        <w:t>Invite-based collaboration with no account friction</w:t>
      </w:r>
    </w:p>
    <w:p>
      <w:pPr>
        <w:pStyle w:val="ListBullet"/>
      </w:pPr>
      <w:r>
        <w:t>AI model selection and competition within the same session</w:t>
      </w:r>
    </w:p>
    <w:p>
      <w:pPr>
        <w:pStyle w:val="ListBullet"/>
      </w:pPr>
      <w:r>
        <w:t>Shared tools across participants (search, evaluation, trials)</w:t>
      </w:r>
    </w:p>
    <w:p>
      <w:pPr>
        <w:pStyle w:val="ListBullet"/>
      </w:pPr>
      <w:r>
        <w:t>Persistent sessions with exportable transcripts</w:t>
      </w:r>
    </w:p>
    <w:p>
      <w:pPr>
        <w:pStyle w:val="ListBullet"/>
      </w:pPr>
      <w:r>
        <w:t>Shared research bot for autonomous analysis</w:t>
      </w:r>
    </w:p>
    <w:p>
      <w:pPr>
        <w:pStyle w:val="ListBullet"/>
      </w:pPr>
      <w:r>
        <w:t>Consent-based participation and governance controls</w:t>
      </w:r>
    </w:p>
    <w:p>
      <w:r>
        <w:rPr>
          <w:b/>
        </w:rPr>
        <w:t>Pricing: Premium via AI token usage markup; users pay only when they choose advanced AI participation</w:t>
      </w:r>
    </w:p>
    <w:p/>
    <w:p>
      <w:r>
        <w:drawing>
          <wp:inline xmlns:a="http://schemas.openxmlformats.org/drawingml/2006/main" xmlns:pic="http://schemas.openxmlformats.org/drawingml/2006/picture">
            <wp:extent cx="5029200" cy="4013200"/>
            <wp:docPr id="5" name="Picture 5"/>
            <wp:cNvGraphicFramePr>
              <a:graphicFrameLocks noChangeAspect="1"/>
            </wp:cNvGraphicFramePr>
            <a:graphic>
              <a:graphicData uri="http://schemas.openxmlformats.org/drawingml/2006/picture">
                <pic:pic>
                  <pic:nvPicPr>
                    <pic:cNvPr id="0" name="discuss_care_room.png"/>
                    <pic:cNvPicPr/>
                  </pic:nvPicPr>
                  <pic:blipFill>
                    <a:blip r:embed="rId13"/>
                    <a:stretch>
                      <a:fillRect/>
                    </a:stretch>
                  </pic:blipFill>
                  <pic:spPr>
                    <a:xfrm>
                      <a:off x="0" y="0"/>
                      <a:ext cx="5029200" cy="4013200"/>
                    </a:xfrm>
                    <a:prstGeom prst="rect"/>
                  </pic:spPr>
                </pic:pic>
              </a:graphicData>
            </a:graphic>
          </wp:inline>
        </w:drawing>
      </w:r>
    </w:p>
    <w:p>
      <w:pPr>
        <w:jc w:val="center"/>
      </w:pPr>
      <w:r>
        <w:rPr>
          <w:i/>
          <w:color w:val="646464"/>
          <w:sz w:val="16"/>
        </w:rPr>
        <w:t>Fig. 5: Inside a Discuss Care session: humans and AI models collaborate with shared tools.</w:t>
      </w:r>
    </w:p>
    <w:p>
      <w:r>
        <w:br w:type="page"/>
      </w:r>
    </w:p>
    <w:p>
      <w:pPr>
        <w:pStyle w:val="Heading1"/>
      </w:pPr>
      <w:r>
        <w:t>Revenue Model</w:t>
      </w:r>
    </w:p>
    <w:p>
      <w:pPr>
        <w:pStyle w:val="ListBullet"/>
      </w:pPr>
      <w:r>
        <w:t>AI token markup on premium model usage within Discuss Care</w:t>
      </w:r>
    </w:p>
    <w:p>
      <w:pPr>
        <w:pStyle w:val="ListBullet"/>
      </w:pPr>
      <w:r>
        <w:t>AI vendor access fees to participate in decision sessions</w:t>
      </w:r>
    </w:p>
    <w:p>
      <w:pPr>
        <w:pStyle w:val="ListBullet"/>
      </w:pPr>
      <w:r>
        <w:t>Future premium subscriptions for advanced evaluation insights</w:t>
      </w:r>
    </w:p>
    <w:p/>
    <w:p>
      <w:r>
        <w:drawing>
          <wp:inline xmlns:a="http://schemas.openxmlformats.org/drawingml/2006/main" xmlns:pic="http://schemas.openxmlformats.org/drawingml/2006/picture">
            <wp:extent cx="4572000" cy="2724727"/>
            <wp:docPr id="6" name="Picture 6"/>
            <wp:cNvGraphicFramePr>
              <a:graphicFrameLocks noChangeAspect="1"/>
            </wp:cNvGraphicFramePr>
            <a:graphic>
              <a:graphicData uri="http://schemas.openxmlformats.org/drawingml/2006/picture">
                <pic:pic>
                  <pic:nvPicPr>
                    <pic:cNvPr id="0" name="revenue_flow.png"/>
                    <pic:cNvPicPr/>
                  </pic:nvPicPr>
                  <pic:blipFill>
                    <a:blip r:embed="rId14"/>
                    <a:stretch>
                      <a:fillRect/>
                    </a:stretch>
                  </pic:blipFill>
                  <pic:spPr>
                    <a:xfrm>
                      <a:off x="0" y="0"/>
                      <a:ext cx="4572000" cy="2724727"/>
                    </a:xfrm>
                    <a:prstGeom prst="rect"/>
                  </pic:spPr>
                </pic:pic>
              </a:graphicData>
            </a:graphic>
          </wp:inline>
        </w:drawing>
      </w:r>
    </w:p>
    <w:p>
      <w:pPr>
        <w:jc w:val="center"/>
      </w:pPr>
      <w:r>
        <w:rPr>
          <w:i/>
          <w:color w:val="646464"/>
          <w:sz w:val="16"/>
        </w:rPr>
        <w:t>Fig. 6: Two-sided platform. Consumers pay token premiums. AI vendors contribute capital.</w:t>
      </w:r>
    </w:p>
    <w:p>
      <w:r>
        <w:br w:type="page"/>
      </w:r>
    </w:p>
    <w:p>
      <w:pPr>
        <w:pStyle w:val="Heading1"/>
      </w:pPr>
      <w:r>
        <w:t>Competitive Moat</w:t>
      </w:r>
    </w:p>
    <w:p/>
    <w:p>
      <w:r>
        <w:drawing>
          <wp:inline xmlns:a="http://schemas.openxmlformats.org/drawingml/2006/main" xmlns:pic="http://schemas.openxmlformats.org/drawingml/2006/picture">
            <wp:extent cx="4572000" cy="3274979"/>
            <wp:docPr id="7" name="Picture 7"/>
            <wp:cNvGraphicFramePr>
              <a:graphicFrameLocks noChangeAspect="1"/>
            </wp:cNvGraphicFramePr>
            <a:graphic>
              <a:graphicData uri="http://schemas.openxmlformats.org/drawingml/2006/picture">
                <pic:pic>
                  <pic:nvPicPr>
                    <pic:cNvPr id="0" name="moat_diagram.png"/>
                    <pic:cNvPicPr/>
                  </pic:nvPicPr>
                  <pic:blipFill>
                    <a:blip r:embed="rId15"/>
                    <a:stretch>
                      <a:fillRect/>
                    </a:stretch>
                  </pic:blipFill>
                  <pic:spPr>
                    <a:xfrm>
                      <a:off x="0" y="0"/>
                      <a:ext cx="4572000" cy="3274979"/>
                    </a:xfrm>
                    <a:prstGeom prst="rect"/>
                  </pic:spPr>
                </pic:pic>
              </a:graphicData>
            </a:graphic>
          </wp:inline>
        </w:drawing>
      </w:r>
    </w:p>
    <w:p>
      <w:pPr>
        <w:jc w:val="center"/>
      </w:pPr>
      <w:r>
        <w:rPr>
          <w:i/>
          <w:color w:val="646464"/>
          <w:sz w:val="16"/>
        </w:rPr>
        <w:t>Fig. 7: Five concentric barriers. IP Protection &amp; Trade Secrets at the core.</w:t>
      </w:r>
    </w:p>
    <w:p>
      <w:r>
        <w:br w:type="page"/>
      </w:r>
    </w:p>
    <w:p>
      <w:pPr>
        <w:pStyle w:val="Heading1"/>
      </w:pPr>
      <w:r>
        <w:t>Competitive Landscape</w:t>
      </w:r>
    </w:p>
    <w:p>
      <w:r>
        <w:t>The healthcare navigation market is dominated by platforms that earn revenue from the providers they claim to evaluate. ChatHealthy.ai is the only platform built entirely on the consumer side of the table.</w:t>
      </w:r>
    </w:p>
    <w:p>
      <w:r>
        <w:t>Every incumbent earns money from the care chain -- providers, hospitals, or payers. This creates a structural conflict of interest. The consumer cannot trust a platform that is paid by the people it is supposed to evaluate.</w:t>
      </w:r>
    </w:p>
    <w:p>
      <w:r>
        <w:rPr>
          <w:b/>
        </w:rPr>
        <w:t>Yelp Health</w:t>
      </w:r>
    </w:p>
    <w:p>
      <w:r>
        <w:t xml:space="preserve">  Earns revenue from sponsored listings. Providers who pay appear first. Consumer trust is the product being sold.</w:t>
      </w:r>
    </w:p>
    <w:p>
      <w:r>
        <w:rPr>
          <w:b/>
        </w:rPr>
        <w:t>ZocDoc</w:t>
      </w:r>
    </w:p>
    <w:p>
      <w:r>
        <w:t xml:space="preserve">  Charges providers for patient bookings. The platform is a referral engine disguised as a search tool.</w:t>
      </w:r>
    </w:p>
    <w:p>
      <w:r>
        <w:rPr>
          <w:b/>
        </w:rPr>
        <w:t>Healthgrades</w:t>
      </w:r>
    </w:p>
    <w:p>
      <w:r>
        <w:t xml:space="preserve">  Revenue from provider advertising and hospital partnerships. Ratings influenced by who pays.</w:t>
      </w:r>
    </w:p>
    <w:p>
      <w:r>
        <w:rPr>
          <w:b/>
        </w:rPr>
        <w:t>Angies List</w:t>
      </w:r>
    </w:p>
    <w:p>
      <w:r>
        <w:t xml:space="preserve">  Merged with HomeAdvisor. Lead generation model. Providers pay for leads. Consumer is the product.</w:t>
      </w:r>
    </w:p>
    <w:p/>
    <w:p>
      <w:r>
        <w:drawing>
          <wp:inline xmlns:a="http://schemas.openxmlformats.org/drawingml/2006/main" xmlns:pic="http://schemas.openxmlformats.org/drawingml/2006/picture">
            <wp:extent cx="5029200" cy="1557366"/>
            <wp:docPr id="8" name="Picture 8"/>
            <wp:cNvGraphicFramePr>
              <a:graphicFrameLocks noChangeAspect="1"/>
            </wp:cNvGraphicFramePr>
            <a:graphic>
              <a:graphicData uri="http://schemas.openxmlformats.org/drawingml/2006/picture">
                <pic:pic>
                  <pic:nvPicPr>
                    <pic:cNvPr id="0" name="competitor_logos.png"/>
                    <pic:cNvPicPr/>
                  </pic:nvPicPr>
                  <pic:blipFill>
                    <a:blip r:embed="rId16"/>
                    <a:stretch>
                      <a:fillRect/>
                    </a:stretch>
                  </pic:blipFill>
                  <pic:spPr>
                    <a:xfrm>
                      <a:off x="0" y="0"/>
                      <a:ext cx="5029200" cy="1557366"/>
                    </a:xfrm>
                    <a:prstGeom prst="rect"/>
                  </pic:spPr>
                </pic:pic>
              </a:graphicData>
            </a:graphic>
          </wp:inline>
        </w:drawing>
      </w:r>
    </w:p>
    <w:p>
      <w:pPr>
        <w:jc w:val="center"/>
      </w:pPr>
      <w:r>
        <w:rPr>
          <w:i/>
          <w:color w:val="646464"/>
          <w:sz w:val="16"/>
        </w:rPr>
        <w:t>Fig. 8: The healthcare navigation market. ChatHealthy.ai is the only platform that takes zero revenue from the care chain.</w:t>
      </w:r>
    </w:p>
    <w:p>
      <w:r>
        <w:t>ChatHealthy.ai will never take money from providers, hospitals, payers, pharmaceutical companies, PBMs, or any entity in the care delivery or payment chain. This is not a guideline. It is governance policy GOV-001, permanent and non-negotiable. Our revenue comes exclusively from consumers (token premiums) and technology partners (AI vendor capital). This is our moat. No incumbent can match it without destroying their business model.</w:t>
      </w:r>
    </w:p>
    <w:p>
      <w:r>
        <w:br w:type="page"/>
      </w:r>
    </w:p>
    <w:p>
      <w:pPr>
        <w:pStyle w:val="Heading1"/>
      </w:pPr>
      <w:r>
        <w:t>Security Positioning</w:t>
      </w:r>
    </w:p>
    <w:p/>
    <w:p>
      <w:r>
        <w:drawing>
          <wp:inline xmlns:a="http://schemas.openxmlformats.org/drawingml/2006/main" xmlns:pic="http://schemas.openxmlformats.org/drawingml/2006/picture">
            <wp:extent cx="5029200" cy="3338713"/>
            <wp:docPr id="9" name="Picture 9"/>
            <wp:cNvGraphicFramePr>
              <a:graphicFrameLocks noChangeAspect="1"/>
            </wp:cNvGraphicFramePr>
            <a:graphic>
              <a:graphicData uri="http://schemas.openxmlformats.org/drawingml/2006/picture">
                <pic:pic>
                  <pic:nvPicPr>
                    <pic:cNvPr id="0" name="compliance_flow.png"/>
                    <pic:cNvPicPr/>
                  </pic:nvPicPr>
                  <pic:blipFill>
                    <a:blip r:embed="rId17"/>
                    <a:stretch>
                      <a:fillRect/>
                    </a:stretch>
                  </pic:blipFill>
                  <pic:spPr>
                    <a:xfrm>
                      <a:off x="0" y="0"/>
                      <a:ext cx="5029200" cy="3338713"/>
                    </a:xfrm>
                    <a:prstGeom prst="rect"/>
                  </pic:spPr>
                </pic:pic>
              </a:graphicData>
            </a:graphic>
          </wp:inline>
        </w:drawing>
      </w:r>
    </w:p>
    <w:p>
      <w:pPr>
        <w:jc w:val="center"/>
      </w:pPr>
      <w:r>
        <w:rPr>
          <w:i/>
          <w:color w:val="646464"/>
          <w:sz w:val="16"/>
        </w:rPr>
        <w:t>Fig. 9: Licensed provider enters the room -- mandatory disclosure to all participants.</w:t>
      </w:r>
    </w:p>
    <w:p>
      <w:r>
        <w:br w:type="page"/>
      </w:r>
    </w:p>
    <w:p>
      <w:pPr>
        <w:pStyle w:val="Heading1"/>
      </w:pPr>
      <w:r>
        <w:t>Investment Thesis</w:t>
      </w:r>
    </w:p>
    <w:p>
      <w:r>
        <w:t>ChatHealthy.ai sits at the intersection of two inevitable shifts: consumer control of healthcare decisions and AI participation in those decisions. The company captures value by owning the environment where both converge. Investors are backing a platform that becomes the default interface for navigating a $4 trillion market. Strategic value is immediate for AI companies seeking distribution, and long-term for any entity that benefits from influencing healthcare decisions without regulatory exposure.</w:t>
      </w:r>
    </w:p>
    <w:p>
      <w:pPr>
        <w:pStyle w:val="Heading2"/>
      </w:pPr>
      <w:r>
        <w:t>Timeline</w:t>
      </w:r>
    </w:p>
    <w:p>
      <w:pPr>
        <w:pStyle w:val="ListBullet"/>
      </w:pPr>
      <w:r>
        <w:t>2026-09-30  --  iPhone App Launch</w:t>
      </w:r>
    </w:p>
    <w:p/>
    <w:p>
      <w:pPr>
        <w:jc w:val="center"/>
      </w:pPr>
      <w:r>
        <w:rPr>
          <w:i/>
          <w:color w:val="969696"/>
          <w:sz w:val="16"/>
        </w:rPr>
        <w:t>ChatHealthy.ai Business Architecture  |  2026-03-31  |  Authored by Claude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