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r>
        <w:rPr>
          <w:color w:val="FF0000"/>
        </w:rPr>
        <w:t>Version: 69</w:t>
      </w:r>
    </w:p>
    <w:p w14:paraId="19F22DE9" w14:textId="77777777" w:rsidR="00157A90" w:rsidRPr="00C84B19" w:rsidRDefault="00544B8B">
      <w:pPr>
        <w:jc w:val="center"/>
      </w:pPr>
      <w:r w:rsidRPr="00C84B19"/>
      <w:r>
        <w:rPr>
          <w:color w:val="FF0000"/>
        </w:rPr>
        <w:t>Date: 2026-10-09</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rPr>
        <w:t>Figure — Allocating hardware and PIDs at runtime (build &amp; use).</w:t>
      </w:r>
    </w:p>
    <w:p w14:paraId="2B0F6C7F" w14:textId="78895BF7" w:rsidR="00157A90" w:rsidRPr="006A77DD" w:rsidRDefault="00544B8B">
      <w:pPr>
        <w:rPr>
          <w:strike/>
        </w:rPr>
      </w:pPr>
      <w:r>
        <w:rP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rPr/>
        <w:t xml:space="preserve">&lt;/ Skip: </w:t>
      </w:r>
      <w:r w:rsidR="006A77DD">
        <w:rPr/>
        <w:t xml:space="preserve">Please no process rhetoric&gt; </w:t>
      </w:r>
    </w:p>
    <w:p w14:paraId="09C21630" w14:textId="77777777" w:rsidR="00B04D46" w:rsidRDefault="00000000">
      <w:pPr>
        <w:pStyle w:val="Heading4"/>
      </w:pPr>
      <w:r>
        <w:rPr/>
        <w:lastRenderedPageBreak/>
        <w:t>(a) Hardware allocation</w:t>
      </w:r>
    </w:p>
    <w:p w14:paraId="75D9DEF0" w14:textId="4F6A614C" w:rsidR="00B04D46" w:rsidRDefault="00000000">
      <w:r>
        <w:rPr/>
        <w:t xml:space="preserve">One common function — </w:t>
      </w:r>
      <w:proofErr w:type="gramStart"/>
      <w:r>
        <w:rPr/>
        <w:t>allocate(</w:t>
      </w:r>
      <w:proofErr w:type="gramEnd"/>
      <w:r>
        <w:rPr/>
        <w:t xml:space="preserve">count, </w:t>
      </w:r>
      <w:r w:rsidR="006A77DD">
        <w:rPr/>
        <w:t>[</w:t>
      </w:r>
      <w:proofErr w:type="spellStart"/>
      <w:r>
        <w:rPr/>
        <w:t>sku</w:t>
      </w:r>
      <w:proofErr w:type="spellEnd"/>
      <w:r>
        <w:rPr/>
        <w:t>, image</w:t>
      </w:r>
      <w:r w:rsidR="006A77DD">
        <w:rPr/>
        <w:t>, name</w:t>
      </w:r>
      <w:proofErr w:type="gramStart"/>
      <w:r w:rsidR="006A77DD">
        <w:rPr/>
        <w:t>]</w:t>
      </w:r>
      <w:r>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t xml:space="preserve">  </w:t>
      </w:r>
      <w:r>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t>(b) Process creation and management</w:t>
      </w:r>
    </w:p>
    <w:p w14:paraId="44708C78" w14:textId="77777777" w:rsidR="00157A90" w:rsidRDefault="00544B8B">
      <w:r>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pPr>
        <w:pStyle w:val="Heading3"/>
      </w:pPr>
      <w:r>
        <w:rPr>
          <w:color w:val="008000"/>
        </w:rPr>
        <w:t>I.3.4a Record-range fan-out at production scale</w:t>
      </w:r>
    </w:p>
    <w:p>
      <w:pPr/>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pPr>
        <w:pStyle w:val="ListBullet"/>
      </w:pPr>
      <w:r>
        <w:rPr>
          <w:color w:val="008000"/>
        </w:rPr>
        <w:t>Index up front. A single-field index on record_number is created at collection creation, before any worker runs, so each worker reads its slice as an index-covered range rather than a collection scan.</w:t>
      </w:r>
    </w:p>
    <w:p>
      <w:pPr>
        <w:pStyle w:val="ListBullet"/>
      </w:pPr>
      <w:r>
        <w:rPr>
          <w:color w:val="008000"/>
        </w:rPr>
        <w:t>Range partition. The N records are divided into W contiguous ranges of ceil(N/W) each; worker i claims [ i*ceil(N/W), (i+1)*ceil(N/W) ) by record_number. Equal-size, deterministic, gap-free, non-overlapping.</w:t>
      </w:r>
    </w:p>
    <w:p>
      <w:pPr>
        <w:pStyle w:val="ListBullet"/>
      </w:pPr>
      <w:r>
        <w:rPr>
          <w:color w:val="008000"/>
        </w:rPr>
        <w:t>Each worker reads its range (indexed), runs each record through the tool (resolve -&gt; crosswalk -&gt; assemble), and writes results keyed by the record natural key. Ranges are disjoint, so workers never collide.</w:t>
      </w:r>
    </w:p>
    <w:p>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pPr>
        <w:pStyle w:val="Heading3"/>
      </w:pPr>
      <w:r>
        <w:rPr>
          <w:color w:val="008000"/>
        </w:rPr>
        <w:t>I.3.4b Build scope - prescription drugs only (NormalizedIndicationMap)</w:t>
      </w:r>
    </w:p>
    <w:p>
      <w:pPr/>
      <w:r>
        <w:rPr>
          <w:color w:val="008000"/>
        </w:rPr>
        <w:t>For the NormalizedIndicationMap build, the map codes PRESCRIPTION drugs only. OTC medicines are staged like every other label but are EXCLUDED from the map, discriminated by openfda.product_type ("HUMAN OTC DRUG" vs "HUMAN PRESCRIPTION DRUG"). OTC actives - menthol, white petrolatum, topical lidocaine, bisacodyl and the like - carry no distinct codeable disease indication, so coding them adds noise rather than signal and inflates the uncodeable residue. Staging stays complete (every label is landed); only the map target collection is scoped to prescription drugs. This is an operator policy, additive and backward-compatible.</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Medicare — logical (normalized) data model. Three public collections: ProviderMedicare, SpecialtyMedicare, Normalized Indication Map.</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7173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7173727"/>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III.5. The Normalized Indication Map</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pPr>
        <w:pStyle w:val="Heading2"/>
      </w:pPr>
      <w:r>
        <w:rPr>
          <w:color w:val="FF0000"/>
        </w:rPr>
        <w:t>III.8 Medicare implementation detail — how each delegated step is realized</w:t>
      </w:r>
    </w:p>
    <w:p>
      <w:pPr/>
      <w:r>
        <w:rPr>
          <w:color w:val="FF0000"/>
        </w:rPr>
        <w:t>The generic infrastructure (Part I) owns only the generic run lifecycle. This section specifies the Medicare-specific material the framework cannot know: the source set, the step DAG, the fan-out keys, the record-build and enrichment engines, the Normalized Indication Map build, the SpecialtyMedicare rollup, and the three record contracts. Every claim is from the current source.</w:t>
      </w:r>
    </w:p>
    <w:p>
      <w:pPr>
        <w:pStyle w:val="Heading3"/>
      </w:pPr>
      <w:r>
        <w:rPr>
          <w:color w:val="FF0000"/>
        </w:rPr>
        <w:t>Purpose and position on the generic lifecycle</w:t>
      </w:r>
    </w:p>
    <w:p>
      <w:pPr/>
      <w:r>
        <w:rPr>
          <w:color w:val="FF0000"/>
        </w:rPr>
        <w:t>The Medicare pipeline is a concrete instance of the generic run lifecycle (EPIC-010-F-001). MedicareProviderEvaluationOrchestrator (medicare_orchestrator.py) declares PIPELINE_NAME = "medicare" and subclasses BasePipelineOrchestrator. Everything Part I owns — admission, the two-VM controller+worker compute, fan-out, work-item claiming, progress/heartbeat recording, release, cluster wake/pause — is inherited unchanged. It publishes three collections in PipelinePublicHealthData: ProviderMedicare (one doc per NPI), SpecialtyMedicare (one doc per NUCC code), IndicationMap (one doc per CCSR category).</w:t>
      </w:r>
    </w:p>
    <w:p>
      <w:pPr/>
      <w:r>
        <w:rPr>
          <w:b/>
          <w:color w:val="FF0000"/>
        </w:rPr>
        <w:t xml:space="preserve">Flag — </w:t>
      </w:r>
      <w:r>
        <w:rPr>
          <w:color w:val="FF0000"/>
        </w:rPr>
        <w:t>Stale docstrings. The module docstrings of medicare_orchestrator.py and control_runner.py still describe the step runners as "Slice 1 scaffold … registry-resolved stubs" whose engines "land in later slices." That is no longer true — every step runner dispatches a real engine. The "stub" language is leftover and must not be read as current behavior.</w:t>
      </w:r>
    </w:p>
    <w:p>
      <w:pPr>
        <w:pStyle w:val="Heading4"/>
      </w:pPr>
      <w:r>
        <w:rPr>
          <w:color w:val="FF0000"/>
        </w:rPr>
        <w:t>Controller entry and Medicare-specific invocation</w:t>
      </w:r>
    </w:p>
    <w:p>
      <w:pPr/>
      <w:r>
        <w:rPr>
          <w:color w:val="FF0000"/>
        </w:rPr>
        <w:t>control_runner.py is the controller entry point, running in the pipeline image on the Controller VM. Beyond the generic args (--run-id, --env-prefix, --states, --resume-from-step, --data-version) it adds one Medicare flag: --build-indication-map (env BUILD_INDICATION_MAP, default off), exported to os.environ so Worker subprocesses and the build_indication_map step see it. Off = a normal run consumes the current published map; on = the run mines a rebuild candidate. --data-version is mandatory (reads DATA_VERSION if the flag is omitted). The controller starts the :6969 mTLS run-status listener, starts a 60s heartbeat daemon (controller_heartbeat_at, controller_pid, vm_name to pipelineAdmin.pipeline.runs; renews the cluster_lifecycle reservation by two hours), wakes the paused pipeline cluster via atlas_cluster_manager.resume_cluster, builds the orchestrator with a pipelineEditor connection to ChatHealthyDataPipelines, and runs it. All Mongo handles go through ChatHealthyMongoUtilities().getConnection("pipelineEditor", …) with hardcoded literals. The finally block runs the generic release chain (fatal_on_worker_log_db_reports, kill_active_workers on non-success, quiesce_mongo_state, empty_pipeline_staging on success, pause_pipeline_cluster, fire_farewell_vm_delete).</w:t>
      </w:r>
    </w:p>
    <w:p>
      <w:pPr/>
      <w:r>
        <w:rPr>
          <w:b/>
          <w:color w:val="FF0000"/>
        </w:rPr>
        <w:t xml:space="preserve">Flag — </w:t>
      </w:r>
      <w:r>
        <w:rPr>
          <w:color w:val="FF0000"/>
        </w:rPr>
        <w:t>Discrepancy report not emitted. control_runner.py carries an explicit TODO in the finally block: the Medicare discrepancy report — one per run on success or abend, counting the three Medicare collections — is deferred and is NOT emitted today. The generic worker-log-DB fatal report still fires; the Medicare operational report required by EPIC-010-F-001-S-008 does not.</w:t>
      </w:r>
    </w:p>
    <w:p>
      <w:pPr>
        <w:pStyle w:val="Heading4"/>
      </w:pPr>
      <w:r>
        <w:rPr>
          <w:color w:val="FF0000"/>
        </w:rPr>
        <w:t>Trigger tier and two-VM topology</w:t>
      </w:r>
    </w:p>
    <w:p>
      <w:pPr/>
      <w:r>
        <w:rPr>
          <w:color w:val="FF0000"/>
        </w:rPr>
        <w:t>medicare_pipeline_runbook.py is the Azure Automation trigger tier. It creates a Controller VM (not a combined run VM): parse the webhook payload (data_version mandatory int &gt;= 1; build_indication_map and states optional; states defaults to ["ALL"] with the provider legality rules), acquire the per-pipeline lock pipeline_lock:medicare in cluster_lifecycle (refusing a second concurrent run), write the run manifest, reserve the run and resume the cluster in one step (_reserve_and_resume_cluster, reservation first so its lease covers the wake), ARM-PUT one Controller VM, exit without waiting. The Controller VM cloud-init runs control_runner.py with WORKER_COMPUTE=vm, so the Controller provisions Worker VMs at fan-out. It carries pipelineController credentials (ARM Worker-VM creation + Mongo cert auth) and hands pipelineEditor credentials to the Worker VMs. On controller exit 0 the VM self-deletes; on non-zero it is kept so the crash log survives.</w:t>
      </w:r>
    </w:p>
    <w:p>
      <w:pPr>
        <w:pStyle w:val="Heading3"/>
      </w:pPr>
      <w:r>
        <w:rPr>
          <w:color w:val="FF0000"/>
        </w:rPr>
        <w:t>Data model</w:t>
      </w:r>
    </w:p>
    <w:p>
      <w:pPr>
        <w:pStyle w:val="Heading4"/>
      </w:pPr>
      <w:r>
        <w:rPr>
          <w:color w:val="FF0000"/>
        </w:rPr>
        <w:t>ProviderMedicare (ChatHealthyProviderMedicareSchema.json)</w:t>
      </w:r>
    </w:p>
    <w:p>
      <w:pPr/>
      <w:r>
        <w:rPr>
          <w:color w:val="FF0000"/>
        </w:rPr>
        <w:t>One doc per NPI. _id and npi are the 10-digit NPI. Required: _id, entity_type ("I"|"O"), specialty (array of NUCC codes). Carries provider_state (the business-address state it was fanned under), run_id, data_version. The record holds the provider's own Medicare figures only — never specialty aggregates or tier cut-points (those live on SpecialtyMedicare). Two kinds of facts: procedures[] (Part B billed services: hcpcs, descriptor, service_count, beneficiary_count, submitted/allowed/paid amounts, plus enrichment allowed_icd10[], justification_kind, justification_source); drugs[] (Part D: brand, generic, total_claims, days_supply, beneficiary_count, total_drug_cost, plus enrichment rxcui, molecule, parent_indications[]). indications[] carries the provider's own per-indication day-supply rollup. Org-only fields ccn (string) and size_tier (1–5 or null) are written by org enrichment; the schema forbids null ccn, so the base build omits both rather than writing nulls.</w:t>
      </w:r>
    </w:p>
    <w:p>
      <w:pPr/>
      <w:r>
        <w:rPr>
          <w:b/>
          <w:color w:val="FF0000"/>
        </w:rPr>
        <w:t xml:space="preserve">Flag — </w:t>
      </w:r>
      <w:r>
        <w:rPr>
          <w:color w:val="FF0000"/>
        </w:rPr>
        <w:t>year never populated. procedures[] and drugs[] declare an optional year integer, but no engine writes it; the field is always absent.</w:t>
      </w:r>
    </w:p>
    <w:p>
      <w:pPr>
        <w:pStyle w:val="Heading4"/>
      </w:pPr>
      <w:r>
        <w:rPr>
          <w:color w:val="FF0000"/>
        </w:rPr>
        <w:t>SpecialtyMedicare (ChatHealthySpecialtyMedicareSchema.json)</w:t>
      </w:r>
    </w:p>
    <w:p>
      <w:pPr/>
      <w:r>
        <w:rPr>
          <w:color w:val="FF0000"/>
        </w:rPr>
        <w:t>One doc per NUCC code. Required: _id (NUCC), provider_count (number of providers carrying this NUCC in any taxonomy slot — not only those in the Medicare rollup). Carries run_id, data_version, optional embedding + embedding_model, and three aggregate arrays: procedures[] (per HCPCS: provider_count, service_count, beneficiary_count, allowed_amount); drugs[] (per rxcui/molecule: provider_count, total_claims, beneficiary_count, total_cost, plus the day-supply benchmark days_supply_mean/median/quintiles — exactly four cut-points); indications[] (per indication: provider_count, same benchmark triple). The four quintile cut-points define the five tiers a provider is placed into at evaluation; these benchmark figures live only on SpecialtyMedicare. indications_served[] lists the indication ids the specialty touches.</w:t>
      </w:r>
    </w:p>
    <w:p>
      <w:pPr>
        <w:pStyle w:val="Heading4"/>
      </w:pPr>
      <w:r>
        <w:rPr>
          <w:color w:val="FF0000"/>
        </w:rPr>
        <w:t>Normalized Indication Map (ChatHealthyNormalizedIndicationMapSchema.json)</w:t>
      </w:r>
    </w:p>
    <w:p>
      <w:pPr/>
      <w:r>
        <w:rPr>
          <w:color w:val="FF0000"/>
        </w:rPr>
        <w:t>One doc per indication (CCSR category). Required: _id (= indication_id), parent_indication. Hierarchy disease_class (CCSR body-system superclass) -&gt; parent_indication (CCSR clinical category) -&gt; member_icd10[] (ICD-10-CM leaves) is adopted from published vocabularies, not manufactured. member_icd10[] items carry icd10 + justification_source. molecules[] items carry rxcui, ingredient, justification_source, justification_kind (mined deterministic vs residual-LLM inference), and trust (0..1, present only on residual-LLM facts).</w:t>
      </w:r>
    </w:p>
    <w:p>
      <w:pPr/>
      <w:r>
        <w:rPr>
          <w:b/>
          <w:color w:val="FF0000"/>
        </w:rPr>
        <w:t xml:space="preserve">Flag — </w:t>
      </w:r>
      <w:r>
        <w:rPr>
          <w:color w:val="FF0000"/>
        </w:rPr>
        <w:t>Schema/engine source-name drift. The schema descriptions name "Coverage DB / UMLS" for member_icd10.justification_source and molecules.justification_source. The engine actually writes "CCSR" for every member_icd10 and "fda_label" for every mined molecule. No UMLS crosswalk or Coverage-DB ICD-10 list feeds the map's member_icd10; the ICD-10-&gt;indication membership is CCSR-sourced only.</w:t>
      </w:r>
    </w:p>
    <w:p>
      <w:pPr>
        <w:pStyle w:val="Heading3"/>
      </w:pPr>
      <w:r>
        <w:rPr>
          <w:color w:val="FF0000"/>
        </w:rPr>
        <w:t>Sources</w:t>
      </w:r>
    </w:p>
    <w:p>
      <w:pPr/>
      <w:r>
        <w:rPr>
          <w:color w:val="FF0000"/>
        </w:rPr>
        <w:t>The Medicare instance declares its source set on the orchestrator and the per-env dataset_versions[] of pipeline_config.json. Acquisition stays declarative: each fetched source resolves its download URL through the shared registry, which runs the url-discovery worker from a declared page_url + instructions (all Medicare sources use url-discovery, not a stable env URL). FETCH_SOURCES = medicare_partb, medicare_partd, ccsr, icd10_cm, openfda_labels, medicare_pos, medicare_coverage_hcpc. LOAD_SOURCES = FETCH_SOURCES + medicare_coverage_icd10 (the Coverage DB ICD-10 table is a bundled extractor, loaded not fetched).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0000"/>
              </w:rPr>
              <w:t>source_name</w:t>
            </w:r>
          </w:p>
        </w:tc>
        <w:tc>
          <w:tcPr>
            <w:tcW w:type="dxa" w:w="2160"/>
          </w:tcPr>
          <w:p>
            <w:r>
              <w:rPr>
                <w:b/>
                <w:color w:val="FF0000"/>
              </w:rPr>
              <w:t>fetch (page_url + url-discovery)</w:t>
            </w:r>
          </w:p>
        </w:tc>
        <w:tc>
          <w:tcPr>
            <w:tcW w:type="dxa" w:w="2160"/>
          </w:tcPr>
          <w:p>
            <w:r>
              <w:rPr>
                <w:b/>
                <w:color w:val="FF0000"/>
              </w:rPr>
              <w:t>file_format</w:t>
            </w:r>
          </w:p>
        </w:tc>
        <w:tc>
          <w:tcPr>
            <w:tcW w:type="dxa" w:w="2160"/>
          </w:tcPr>
          <w:p>
            <w:r>
              <w:rPr>
                <w:b/>
                <w:color w:val="FF0000"/>
              </w:rPr>
              <w:t>staging / public</w:t>
            </w:r>
          </w:p>
        </w:tc>
      </w:tr>
      <w:tr>
        <w:tc>
          <w:tcPr>
            <w:tcW w:type="dxa" w:w="2160"/>
          </w:tcPr>
          <w:p>
            <w:r>
              <w:rPr>
                <w:color w:val="FF0000"/>
              </w:rPr>
              <w:t>medicare_partb</w:t>
            </w:r>
          </w:p>
        </w:tc>
        <w:tc>
          <w:tcPr>
            <w:tcW w:type="dxa" w:w="2160"/>
          </w:tcPr>
          <w:p>
            <w:r>
              <w:rPr>
                <w:color w:val="FF0000"/>
              </w:rPr>
              <w:t>CMS Physician &amp; Other Practitioners by Provider and Service, latest annual CSV</w:t>
            </w:r>
          </w:p>
        </w:tc>
        <w:tc>
          <w:tcPr>
            <w:tcW w:type="dxa" w:w="2160"/>
          </w:tcPr>
          <w:p>
            <w:r>
              <w:rPr>
                <w:color w:val="FF0000"/>
              </w:rPr>
              <w:t>csv</w:t>
            </w:r>
          </w:p>
        </w:tc>
        <w:tc>
          <w:tcPr>
            <w:tcW w:type="dxa" w:w="2160"/>
          </w:tcPr>
          <w:p>
            <w:r>
              <w:rPr>
                <w:color w:val="FF0000"/>
              </w:rPr>
              <w:t>StagingMedicarePartB / MedicarePartB</w:t>
            </w:r>
          </w:p>
        </w:tc>
      </w:tr>
      <w:tr>
        <w:tc>
          <w:tcPr>
            <w:tcW w:type="dxa" w:w="2160"/>
          </w:tcPr>
          <w:p>
            <w:r>
              <w:rPr>
                <w:color w:val="FF0000"/>
              </w:rPr>
              <w:t>medicare_partd</w:t>
            </w:r>
          </w:p>
        </w:tc>
        <w:tc>
          <w:tcPr>
            <w:tcW w:type="dxa" w:w="2160"/>
          </w:tcPr>
          <w:p>
            <w:r>
              <w:rPr>
                <w:color w:val="FF0000"/>
              </w:rPr>
              <w:t>CMS Part D Prescribers by Provider and Drug, latest annual CSV</w:t>
            </w:r>
          </w:p>
        </w:tc>
        <w:tc>
          <w:tcPr>
            <w:tcW w:type="dxa" w:w="2160"/>
          </w:tcPr>
          <w:p>
            <w:r>
              <w:rPr>
                <w:color w:val="FF0000"/>
              </w:rPr>
              <w:t>csv</w:t>
            </w:r>
          </w:p>
        </w:tc>
        <w:tc>
          <w:tcPr>
            <w:tcW w:type="dxa" w:w="2160"/>
          </w:tcPr>
          <w:p>
            <w:r>
              <w:rPr>
                <w:color w:val="FF0000"/>
              </w:rPr>
              <w:t>StagingMedicarePartD / MedicarePartD</w:t>
            </w:r>
          </w:p>
        </w:tc>
      </w:tr>
      <w:tr>
        <w:tc>
          <w:tcPr>
            <w:tcW w:type="dxa" w:w="2160"/>
          </w:tcPr>
          <w:p>
            <w:r>
              <w:rPr>
                <w:color w:val="FF0000"/>
              </w:rPr>
              <w:t>ccsr</w:t>
            </w:r>
          </w:p>
        </w:tc>
        <w:tc>
          <w:tcPr>
            <w:tcW w:type="dxa" w:w="2160"/>
          </w:tcPr>
          <w:p>
            <w:r>
              <w:rPr>
                <w:color w:val="FF0000"/>
              </w:rPr>
              <w:t>AHRQ HCUP DXCCSR (diagnosis CCSR) zip</w:t>
            </w:r>
          </w:p>
        </w:tc>
        <w:tc>
          <w:tcPr>
            <w:tcW w:type="dxa" w:w="2160"/>
          </w:tcPr>
          <w:p>
            <w:r>
              <w:rPr>
                <w:color w:val="FF0000"/>
              </w:rPr>
              <w:t>zip_containing_csv</w:t>
            </w:r>
          </w:p>
        </w:tc>
        <w:tc>
          <w:tcPr>
            <w:tcW w:type="dxa" w:w="2160"/>
          </w:tcPr>
          <w:p>
            <w:r>
              <w:rPr>
                <w:color w:val="FF0000"/>
              </w:rPr>
              <w:t>StagingCcsr / Ccsr</w:t>
            </w:r>
          </w:p>
        </w:tc>
      </w:tr>
      <w:tr>
        <w:tc>
          <w:tcPr>
            <w:tcW w:type="dxa" w:w="2160"/>
          </w:tcPr>
          <w:p>
            <w:r>
              <w:rPr>
                <w:color w:val="FF0000"/>
              </w:rPr>
              <w:t>icd10_cm</w:t>
            </w:r>
          </w:p>
        </w:tc>
        <w:tc>
          <w:tcPr>
            <w:tcW w:type="dxa" w:w="2160"/>
          </w:tcPr>
          <w:p>
            <w:r>
              <w:rPr>
                <w:color w:val="FF0000"/>
              </w:rPr>
              <w:t>CMS ICD-10-CM code-descriptions tabular-order zip</w:t>
            </w:r>
          </w:p>
        </w:tc>
        <w:tc>
          <w:tcPr>
            <w:tcW w:type="dxa" w:w="2160"/>
          </w:tcPr>
          <w:p>
            <w:r>
              <w:rPr>
                <w:color w:val="FF0000"/>
              </w:rPr>
              <w:t>zip_containing_csv</w:t>
            </w:r>
          </w:p>
        </w:tc>
        <w:tc>
          <w:tcPr>
            <w:tcW w:type="dxa" w:w="2160"/>
          </w:tcPr>
          <w:p>
            <w:r>
              <w:rPr>
                <w:color w:val="FF0000"/>
              </w:rPr>
              <w:t>StagingIcd10Cm / Icd10Cm</w:t>
            </w:r>
          </w:p>
        </w:tc>
      </w:tr>
      <w:tr>
        <w:tc>
          <w:tcPr>
            <w:tcW w:type="dxa" w:w="2160"/>
          </w:tcPr>
          <w:p>
            <w:r>
              <w:rPr>
                <w:color w:val="FF0000"/>
              </w:rPr>
              <w:t>openfda_labels</w:t>
            </w:r>
          </w:p>
        </w:tc>
        <w:tc>
          <w:tcPr>
            <w:tcW w:type="dxa" w:w="2160"/>
          </w:tcPr>
          <w:p>
            <w:r>
              <w:rPr>
                <w:color w:val="FF0000"/>
              </w:rPr>
              <w:t>openFDA drug-label first partition (.json.zip) from the download manifest</w:t>
            </w:r>
          </w:p>
        </w:tc>
        <w:tc>
          <w:tcPr>
            <w:tcW w:type="dxa" w:w="2160"/>
          </w:tcPr>
          <w:p>
            <w:r>
              <w:rPr>
                <w:color w:val="FF0000"/>
              </w:rPr>
              <w:t>zip_containing_json</w:t>
            </w:r>
          </w:p>
        </w:tc>
        <w:tc>
          <w:tcPr>
            <w:tcW w:type="dxa" w:w="2160"/>
          </w:tcPr>
          <w:p>
            <w:r>
              <w:rPr>
                <w:color w:val="FF0000"/>
              </w:rPr>
              <w:t>StagingOpenFdaLabels / OpenFdaLabels</w:t>
            </w:r>
          </w:p>
        </w:tc>
      </w:tr>
      <w:tr>
        <w:tc>
          <w:tcPr>
            <w:tcW w:type="dxa" w:w="2160"/>
          </w:tcPr>
          <w:p>
            <w:r>
              <w:rPr>
                <w:color w:val="FF0000"/>
              </w:rPr>
              <w:t>medicare_pos</w:t>
            </w:r>
          </w:p>
        </w:tc>
        <w:tc>
          <w:tcPr>
            <w:tcW w:type="dxa" w:w="2160"/>
          </w:tcPr>
          <w:p>
            <w:r>
              <w:rPr>
                <w:color w:val="FF0000"/>
              </w:rPr>
              <w:t>CMS Provider-of-Services File (Hospital &amp; Non-Hospital), latest quarterly CSV; CCN + certified bed count</w:t>
            </w:r>
          </w:p>
        </w:tc>
        <w:tc>
          <w:tcPr>
            <w:tcW w:type="dxa" w:w="2160"/>
          </w:tcPr>
          <w:p>
            <w:r>
              <w:rPr>
                <w:color w:val="FF0000"/>
              </w:rPr>
              <w:t>csv</w:t>
            </w:r>
          </w:p>
        </w:tc>
        <w:tc>
          <w:tcPr>
            <w:tcW w:type="dxa" w:w="2160"/>
          </w:tcPr>
          <w:p>
            <w:r>
              <w:rPr>
                <w:color w:val="FF0000"/>
              </w:rPr>
              <w:t>StagingMedicarePos / MedicarePos</w:t>
            </w:r>
          </w:p>
        </w:tc>
      </w:tr>
      <w:tr>
        <w:tc>
          <w:tcPr>
            <w:tcW w:type="dxa" w:w="2160"/>
          </w:tcPr>
          <w:p>
            <w:r>
              <w:rPr>
                <w:color w:val="FF0000"/>
              </w:rPr>
              <w:t>medicare_coverage_hcpc</w:t>
            </w:r>
          </w:p>
        </w:tc>
        <w:tc>
          <w:tcPr>
            <w:tcW w:type="dxa" w:w="2160"/>
          </w:tcPr>
          <w:p>
            <w:r>
              <w:rPr>
                <w:color w:val="FF0000"/>
              </w:rPr>
              <w:t>Medicare Coverage Database article-level code-list zip; bundled_with medicare_coverage_db, archive_member hcpc</w:t>
            </w:r>
          </w:p>
        </w:tc>
        <w:tc>
          <w:tcPr>
            <w:tcW w:type="dxa" w:w="2160"/>
          </w:tcPr>
          <w:p>
            <w:r>
              <w:rPr>
                <w:color w:val="FF0000"/>
              </w:rPr>
              <w:t>pipe_delimited</w:t>
            </w:r>
          </w:p>
        </w:tc>
        <w:tc>
          <w:tcPr>
            <w:tcW w:type="dxa" w:w="2160"/>
          </w:tcPr>
          <w:p>
            <w:r>
              <w:rPr>
                <w:color w:val="FF0000"/>
              </w:rPr>
              <w:t>StagingMedicareCoverageHcpc / MedicareCoverageHcpc</w:t>
            </w:r>
          </w:p>
        </w:tc>
      </w:tr>
      <w:tr>
        <w:tc>
          <w:tcPr>
            <w:tcW w:type="dxa" w:w="2160"/>
          </w:tcPr>
          <w:p>
            <w:r>
              <w:rPr>
                <w:color w:val="FF0000"/>
              </w:rPr>
              <w:t>medicare_coverage_icd10</w:t>
            </w:r>
          </w:p>
        </w:tc>
        <w:tc>
          <w:tcPr>
            <w:tcW w:type="dxa" w:w="2160"/>
          </w:tcPr>
          <w:p>
            <w:r>
              <w:rPr>
                <w:color w:val="FF0000"/>
              </w:rPr>
              <w:t>(bundled, no fetch) bundled_with medicare_coverage_db, archive_member *icd10*</w:t>
            </w:r>
          </w:p>
        </w:tc>
        <w:tc>
          <w:tcPr>
            <w:tcW w:type="dxa" w:w="2160"/>
          </w:tcPr>
          <w:p>
            <w:r>
              <w:rPr>
                <w:color w:val="FF0000"/>
              </w:rPr>
              <w:t>pipe_delimited</w:t>
            </w:r>
          </w:p>
        </w:tc>
        <w:tc>
          <w:tcPr>
            <w:tcW w:type="dxa" w:w="2160"/>
          </w:tcPr>
          <w:p>
            <w:r>
              <w:rPr>
                <w:color w:val="FF0000"/>
              </w:rPr>
              <w:t>StagingMedicareCoverageIcd10 / MedicareCoverageIcd10</w:t>
            </w:r>
          </w:p>
        </w:tc>
      </w:tr>
    </w:tbl>
    <w:p>
      <w:pPr/>
      <w:r>
        <w:rPr>
          <w:color w:val="FF0000"/>
        </w:rPr>
        <w:t>The derived collections providermedicare, specialtymedicare, indication_map are declared depends_on only (no fetch).</w:t>
      </w:r>
    </w:p>
    <w:p>
      <w:pPr>
        <w:pStyle w:val="Heading4"/>
      </w:pPr>
      <w:r>
        <w:rPr>
          <w:color w:val="FF0000"/>
        </w:rPr>
        <w:t>Freshness gate — medicare_source_freshness_gate.py</w:t>
      </w:r>
    </w:p>
    <w:p>
      <w:pPr/>
      <w:r>
        <w:rPr>
          <w:color w:val="FF0000"/>
        </w:rPr>
        <w:t>Serial, before fetch. Because Medicare sources resolve their URL through url-discovery (no cheap HEAD identity), the conservative decision is to fetch every source each run: it writes {decision:"fetch", reason:"url-discovery source, fetched each run"} per source into ctx.manifest.metrics["source_freshness"]. No external calls. (The provider gate, by contrast, does HEAD-identity comparison.)</w:t>
      </w:r>
    </w:p>
    <w:p>
      <w:pPr>
        <w:pStyle w:val="Heading4"/>
      </w:pPr>
      <w:r>
        <w:rPr>
          <w:color w:val="FF0000"/>
        </w:rPr>
        <w:t>Fetch — medicare_fetch_all_sources.py</w:t>
      </w:r>
    </w:p>
    <w:p>
      <w:pPr/>
      <w:r>
        <w:rPr>
          <w:color w:val="FF0000"/>
        </w:rPr>
        <w:t>Process-pool fanned by source_name_base. Each worker resolves its source URL via registry.resolve_source_url, applies the freshness decision, and drives the shared source_fetch_engine.fetch_all_sources, landing the blob to {env}-pipeline-transients. Bundled-source handling: the fetch owner (medicare_coverage_hcpc) also emits child specs for bundle members it does not own (medicare_coverage_icd10), keyed by the member's archive_member glob — the member cannot run as its own worker because the owner's blob is process-local. Results (blob_container, blob_path, versions) go to ctx.manifest.metrics["fetch_results"] and source_versions.</w:t>
      </w:r>
    </w:p>
    <w:p>
      <w:pPr>
        <w:pStyle w:val="Heading4"/>
      </w:pPr>
      <w:r>
        <w:rPr>
          <w:color w:val="FF0000"/>
        </w:rPr>
        <w:t>Archival — medicare_source_archival.py</w:t>
      </w:r>
    </w:p>
    <w:p>
      <w:pPr/>
      <w:r>
        <w:rPr>
          <w:color w:val="FF0000"/>
        </w:rPr>
        <w:t>Serial, after fetch. Delegates to the shared archive_sources (blob archival + DataSourceRegistry update); registry name defaults to the source name.</w:t>
      </w:r>
    </w:p>
    <w:p>
      <w:pPr>
        <w:pStyle w:val="Heading4"/>
      </w:pPr>
      <w:r>
        <w:rPr>
          <w:color w:val="FF0000"/>
        </w:rPr>
        <w:t>Staging load — medicare_load_staging.py</w:t>
      </w:r>
    </w:p>
    <w:p>
      <w:pPr/>
      <w:r>
        <w:rPr>
          <w:color w:val="FF0000"/>
        </w:rPr>
        <w:t>Process-pool fanned by source_name (over LOAD_SOURCES, including the bundled extractor). Each worker drives the shared staging_loader.load_staging. The loader token derives from file_format: csv-&gt;(csv,comma), tsv-&gt;(csv,tab), pipe_delimited-&gt;(csv,pipe), xlsx, json, zip_containing_csv-&gt;zip_csv, zip_containing_json-&gt;zip_json. Bundled resolution: the fetch owner still holds the whole zip, so its table extracts at load with zip_csv + the archive_member hint; a bundled extractor pulled flat at fetch loads as a plain delimited file. Each staged row carries the verbatim source row under doc["raw"], keyed by run_id. Blob coordinates come from the fetch result (absence is fatal).</w:t>
      </w:r>
    </w:p>
    <w:p>
      <w:pPr>
        <w:pStyle w:val="Heading3"/>
      </w:pPr>
      <w:r>
        <w:rPr>
          <w:color w:val="FF0000"/>
        </w:rPr>
        <w:t>Step DAG</w:t>
      </w:r>
    </w:p>
    <w:p>
      <w:pPr/>
      <w:r>
        <w:rPr>
          <w:color w:val="FF0000"/>
        </w:rPr>
        <w:t>MedicareProviderEvaluationOrchestrator.STEPS, with prerequisites, parallelism and fan-out key:</w:t>
      </w:r>
    </w:p>
    <w:p>
      <w:pPr>
        <w:pStyle w:val="ListNumber"/>
      </w:pPr>
      <w:r>
        <w:rPr>
          <w:color w:val="FF0000"/>
        </w:rPr>
        <w:t>prepare_infrastructure — serial (generic)</w:t>
      </w:r>
    </w:p>
    <w:p>
      <w:pPr>
        <w:pStyle w:val="ListNumber"/>
      </w:pPr>
      <w:r>
        <w:rPr>
          <w:color w:val="FF0000"/>
        </w:rPr>
        <w:t>medicare_source_freshness_gate — serial; after prepare</w:t>
      </w:r>
    </w:p>
    <w:p>
      <w:pPr>
        <w:pStyle w:val="ListNumber"/>
      </w:pPr>
      <w:r>
        <w:rPr>
          <w:color w:val="FF0000"/>
        </w:rPr>
        <w:t>medicare_fetch_all_sources — process_pool, partition_key=source_name_base; after freshness</w:t>
      </w:r>
    </w:p>
    <w:p>
      <w:pPr>
        <w:pStyle w:val="ListNumber"/>
      </w:pPr>
      <w:r>
        <w:rPr>
          <w:color w:val="FF0000"/>
        </w:rPr>
        <w:t>medicare_source_archival — serial; after fetch</w:t>
      </w:r>
    </w:p>
    <w:p>
      <w:pPr>
        <w:pStyle w:val="ListNumber"/>
      </w:pPr>
      <w:r>
        <w:rPr>
          <w:color w:val="FF0000"/>
        </w:rPr>
        <w:t>medicare_load_staging — process_pool, partition_key=source_name; after archival</w:t>
      </w:r>
    </w:p>
    <w:p>
      <w:pPr>
        <w:pStyle w:val="ListNumber"/>
      </w:pPr>
      <w:r>
        <w:rPr>
          <w:color w:val="FF0000"/>
        </w:rPr>
        <w:t>build_indication_map — serial; after load_staging; own cadence, gated by build_indication_map</w:t>
      </w:r>
    </w:p>
    <w:p>
      <w:pPr>
        <w:pStyle w:val="ListNumber"/>
      </w:pPr>
      <w:r>
        <w:rPr>
          <w:color w:val="FF0000"/>
        </w:rPr>
        <w:t>build_providermedicare_base — process_pool, partition_key=provider_state; after load_staging</w:t>
      </w:r>
    </w:p>
    <w:p>
      <w:pPr>
        <w:pStyle w:val="ListNumber"/>
      </w:pPr>
      <w:r>
        <w:rPr>
          <w:color w:val="FF0000"/>
        </w:rPr>
        <w:t>enrich_drugs — process_pool, partition_key=provider_state; after base AND build_indication_map</w:t>
      </w:r>
    </w:p>
    <w:p>
      <w:pPr>
        <w:pStyle w:val="ListNumber"/>
      </w:pPr>
      <w:r>
        <w:rPr>
          <w:color w:val="FF0000"/>
        </w:rPr>
        <w:t>enrich_procedures — process_pool, partition_key=provider_state; after base AND build_indication_map</w:t>
      </w:r>
    </w:p>
    <w:p>
      <w:pPr>
        <w:pStyle w:val="ListNumber"/>
      </w:pPr>
      <w:r>
        <w:rPr>
          <w:color w:val="FF0000"/>
        </w:rPr>
        <w:t>enrich_org_ccn_size — process_pool, partition_key=provider_state; after base</w:t>
      </w:r>
    </w:p>
    <w:p>
      <w:pPr>
        <w:pStyle w:val="ListNumber"/>
      </w:pPr>
      <w:r>
        <w:rPr>
          <w:color w:val="FF0000"/>
        </w:rPr>
        <w:t>rollup_specialtymedicare — process_pool, partition_key=nucc_code; after all three enrich steps</w:t>
      </w:r>
    </w:p>
    <w:p>
      <w:pPr>
        <w:pStyle w:val="ListNumber"/>
      </w:pPr>
      <w:r>
        <w:rPr>
          <w:color w:val="FF0000"/>
        </w:rPr>
        <w:t>medicare_contract_conformance — serial; after rollup</w:t>
      </w:r>
    </w:p>
    <w:p>
      <w:pPr>
        <w:pStyle w:val="ListNumber"/>
      </w:pPr>
      <w:r>
        <w:rPr>
          <w:color w:val="FF0000"/>
        </w:rPr>
        <w:t>quiesce_infrastructure — serial, invocation_phase=finally_block (generic)</w:t>
      </w:r>
    </w:p>
    <w:p>
      <w:pPr>
        <w:pStyle w:val="Heading4"/>
      </w:pPr>
      <w:r>
        <w:rPr>
          <w:color w:val="FF0000"/>
        </w:rPr>
        <w:t>Fan-out key resolution — _partitions_for</w:t>
      </w:r>
    </w:p>
    <w:p>
      <w:pPr/>
      <w:r>
        <w:rPr>
          <w:color w:val="FF0000"/>
        </w:rPr>
        <w:t>The orchestrator overrides _partitions_for additively (resolves Medicare keys, delegates the rest to the base; the fully declarative per-step partition source is BUG-014): source_name_base -&gt; one partition per FETCH_SOURCES entry; source_name -&gt; one per LOAD_SOURCES entry; provider_state -&gt; the generic 52-way state logic re-keyed, one ProviderMedicare worker per state; nucc_code -&gt; single-partition placeholder returning [{"single": True}].</w:t>
      </w:r>
    </w:p>
    <w:p>
      <w:pPr/>
      <w:r>
        <w:rPr>
          <w:b/>
          <w:color w:val="FF0000"/>
        </w:rPr>
        <w:t xml:space="preserve">Flag — </w:t>
      </w:r>
      <w:r>
        <w:rPr>
          <w:color w:val="FF0000"/>
        </w:rPr>
        <w:t>NUCC fan-out is a placeholder (BUG-014). rollup_specialtymedicare is declared process_pool on nucc_code, but _partitions_for returns a single partition until the distinct-nucc_code query lands. The rollup worker receives no nucc_code and rolls up every NUCC in one worker (see rollup). Functionally correct, not yet parallel.</w:t>
      </w:r>
    </w:p>
    <w:p>
      <w:pPr>
        <w:pStyle w:val="Heading4"/>
      </w:pPr>
      <w:r>
        <w:rPr>
          <w:color w:val="FF0000"/>
        </w:rPr>
        <w:t>Step runners</w:t>
      </w:r>
    </w:p>
    <w:p>
      <w:pPr/>
      <w:r>
        <w:rPr>
          <w:color w:val="FF0000"/>
        </w:rPr>
        <w:t>Each step module in steps/ exposes run_step(ctx) (+ execute alias), registered by name in pipeline/run_lifecycle/steps/__init__.py _STEP_MODULE_PATHS. The runner is thin: validate the partition, resolve every collection through PipelineRuntime(ctx).registry, call the engine, log, return the engine's result dict. No step makes external calls except fetch.</w:t>
      </w:r>
    </w:p>
    <w:p>
      <w:pPr>
        <w:pStyle w:val="Heading4"/>
      </w:pPr>
      <w:r>
        <w:rPr>
          <w:color w:val="FF0000"/>
        </w:rPr>
        <w:t>build_providermedicare_base — engine medicare_providermedicare_engine.build_providermedicare</w:t>
      </w:r>
    </w:p>
    <w:p>
      <w:pPr/>
      <w:r>
        <w:rPr>
          <w:color w:val="FF0000"/>
        </w:rPr>
        <w:t>Fanned by provider_state. Assembles one ProviderMedicare doc per NPI in the Provider spine for the state. Inputs: the built Provider collection (spine: entity_type_code, taxonomies[]), Part B staging, Part D staging, the providermedicare target, the state filter. Logic: CMS column names are isolated in PARTB_COLS / PARTD_COLS (e.g. Part B Rndrng_NPI, HCPCS_Cd, Tot_Srvcs, Avg_Mdcr_Alowd_Amt; Part D Prscrbr_NPI, Brnd_Name, Gnrc_Name, Tot_Day_Suply) so first-fetch drift is corrected in one place. Staged rows are read by raw.{state_col} for the partition state; Part B procedures and Part D drugs are grouped by NPI. One doc per spine NPI in the state: _id/npi, provider_state, entity_type (spine entity_type_code=="2" =&gt; "O" else "I"), specialty (distinct spine taxonomy codes), procedures[] from Part B, drugs[] from Part D (enrichment fields pre-seeded), indications:[]; ccn/size_tier omitted. Numeric coercion via _num; batched UpdateOne(upsert=True). Metrics: providermedicare_written, billed_npis_without_spine (count only).</w:t>
      </w:r>
    </w:p>
    <w:p>
      <w:pPr/>
      <w:r>
        <w:rPr>
          <w:b/>
          <w:color w:val="FF0000"/>
        </w:rPr>
        <w:t xml:space="preserve">Flag — </w:t>
      </w:r>
      <w:r>
        <w:rPr>
          <w:color w:val="FF0000"/>
        </w:rPr>
        <w:t>Provider data_version coupling. The step resolves the Provider spine at THIS run's data_version. A --provider-data-version arg is needed if the Provider pipeline was built at a different version; this is tracked, not implemented.</w:t>
      </w:r>
    </w:p>
    <w:p>
      <w:pPr>
        <w:pStyle w:val="Heading3"/>
      </w:pPr>
      <w:r>
        <w:rPr>
          <w:color w:val="FF0000"/>
        </w:rPr>
        <w:t>The Normalized Indication Map — build_indication_map / engine medicare_indication_map_engine.build_indication_map</w:t>
      </w:r>
    </w:p>
    <w:p>
      <w:pPr/>
      <w:r>
        <w:rPr>
          <w:color w:val="FF0000"/>
        </w:rPr>
        <w:t>Serial, own cadence, gated by BUILD_INDICATION_MAP. On a normal (consume) run the step is a no-op ({rebuild:False, consumed:True}); the per-provider steps read the current published map. On a rebuild run it mines a candidate at this run's data_version, released to the serving store only through the operator-gated crossing (EPIC-010-F-003) — it never auto-replaces the live map. Inputs (rebuild): CCSR staging, ICD-10-CM staging, Part D staging, openFDA-labels staging, the indication_map target.</w:t>
      </w:r>
    </w:p>
    <w:p>
      <w:pPr/>
      <w:r>
        <w:rPr>
          <w:color w:val="FF0000"/>
        </w:rPr>
        <w:t>Deterministic hierarchy mining: _parse_ccsr_row reads each AHRQ CCSR row (AHRQ wraps text in single quotes, up to six numbered CCSR category assignments per code), yielding (icd10_code, desc, [(category_code, category_desc), …]) and skipping sentinels XXX000/NA. One NormalizedIndication doc per CCSR category (indication_id = category code, parent_indication = category description, disease_class = body-system superclass from the category code's three-letter prefix via _BODY_SYSTEM, e.g. CIR-&gt;circulatory, NEO-&gt;neoplasms; an unmapped prefix carries the raw prefix token, not an invented name). member_icd10 accumulates the category's ICD-10 leaves with justification_source:"CCSR". icd10_to_cats is the reverse index. Empty hierarchy =&gt; fatal.</w:t>
      </w:r>
    </w:p>
    <w:p>
      <w:pPr/>
      <w:r>
        <w:rPr>
          <w:color w:val="FF0000"/>
        </w:rPr>
        <w:t>Molecule universe: the lower-cased set of Gnrc_Name values actually prescribed under Part D.</w:t>
      </w:r>
    </w:p>
    <w:p>
      <w:pPr/>
      <w:r>
        <w:rPr>
          <w:color w:val="FF0000"/>
        </w:rPr>
        <w:t>LLM product-&gt;indication crosswalk (the thin residual; rebuild + openFDA only): CH_INDICATION_MODEL (a pydantic-ai provider:model string) is read from env; absent =&gt; fatal. Iterates openFDA label records; for each it reads openfda.rxcui[0] and substance/generic name, skips any product whose substances are not in the prescribed set, then sends the label's indications_and_usage prose to the model. One call per product, through the shared facade run_llm_sync with a pydantic-ai Agent whose output_type is IcdCodes and a system prompt instructing it to return only on-label ICD-10-CM codes. Model settings temperature=0, max_tokens=4000, plus a provider-specific logprob flag. Trust: _trust_from_result reads response.provider_details.avg_logprobs and maps it to 0..1 via exp(mean per-token logprob) — the inference's own confidence, never a number the model is asked to invent. Returned ICD-10 codes are joined to CCSR categories via icd10_to_cats; each category's molecules[rxcui] gets {ingredient, justification_source:"fda_label", justification_kind:"residual-LLM", trust}.</w:t>
      </w:r>
    </w:p>
    <w:p>
      <w:pPr/>
      <w:r>
        <w:rPr>
          <w:b/>
          <w:color w:val="FF0000"/>
        </w:rPr>
        <w:t xml:space="preserve">Flag — </w:t>
      </w:r>
      <w:r>
        <w:rPr>
          <w:color w:val="FF0000"/>
        </w:rPr>
        <w:t>Logprob availability. Only google/openai expose logprobs; an Anthropic binding yields trust=None. Deterministic facts carry no trust. Output: one doc per CCSR category (batched). Metrics: indications_written, ccsr_rows, prescribed_molecules, residual_calls, molecules_attached, rebuild.</w:t>
      </w:r>
    </w:p>
    <w:p>
      <w:pPr>
        <w:pStyle w:val="Heading3"/>
      </w:pPr>
      <w:r>
        <w:rPr>
          <w:color w:val="FF0000"/>
        </w:rPr>
        <w:t>Per-provider enrichment (map-lookup and deterministic)</w:t>
      </w:r>
    </w:p>
    <w:p>
      <w:pPr>
        <w:pStyle w:val="Heading4"/>
      </w:pPr>
      <w:r>
        <w:rPr>
          <w:color w:val="FF0000"/>
        </w:rPr>
        <w:t>enrich_drugs — engine medicare_enrich_drugs_engine.enrich_drugs (S-006)</w:t>
      </w:r>
    </w:p>
    <w:p>
      <w:pPr/>
      <w:r>
        <w:rPr>
          <w:color w:val="FF0000"/>
        </w:rPr>
        <w:t>Fanned by provider_state. Map lookup only. Loads the published map into rxcui-&gt;{indication_id} and ingredient_lower-&gt;{indication_id} from each indication's molecules[]. Empty map =&gt; fatal ("build/release it first"). For each ProviderMedicare record in the state, each drug joins by rxcui when present, else by generic/molecule. A drug indicated for several parents writes all to parent_indications (count-under-each) and adds its days_supply under each indication. Rolls the provider's own per-indication day supply into indications[] with source:"drug". Metrics: providermedicare_updated, drug_slots_mapped.</w:t>
      </w:r>
    </w:p>
    <w:p>
      <w:pPr>
        <w:pStyle w:val="Heading4"/>
      </w:pPr>
      <w:r>
        <w:rPr>
          <w:color w:val="FF0000"/>
        </w:rPr>
        <w:t>enrich_procedures — engine medicare_enrich_procedures_engine.enrich_procedures (S-005)</w:t>
      </w:r>
    </w:p>
    <w:p>
      <w:pPr/>
      <w:r>
        <w:rPr>
          <w:color w:val="FF0000"/>
        </w:rPr>
        <w:t>Fanned by provider_state. Rule-based procedure coverage justification. build_hcpc_to_icd10 joins the two Medicare Coverage Database tables by their shared article key: the ICD-10 table gives article-&gt;{ICD-10}, the HCPCS table gives article-&gt;HCPCS, yielding HCPCS-&gt;{covered ICD-10}. Column names matched by tolerant key tuples after single-quote stripping and lower-casing; ICD-10 codes normalized (upper, dots removed). Each billed procedure whose HCPCS is governed is stamped allowed_icd10 (sorted covered diagnoses), justification_kind:"coverage_db", justification_source:"medicare_coverage". Procedures with no coverage get justification_kind:"none".</w:t>
      </w:r>
    </w:p>
    <w:p>
      <w:pPr/>
      <w:r>
        <w:rPr>
          <w:b/>
          <w:color w:val="FF0000"/>
        </w:rPr>
        <w:t xml:space="preserve">Flag — </w:t>
      </w:r>
      <w:r>
        <w:rPr>
          <w:color w:val="FF0000"/>
        </w:rPr>
        <w:t>"none" persistence. The engine sets changed=True only when at least one procedure gains coverage; a record whose procedures are all uncovered is not written, so the "none" justification persists only when a sibling procedure did get coverage. Records with zero covered procedures keep justification_kind:"" from the base build. Metrics: hcpcs_with_coverage, providermedicare_updated, procedures_justified.</w:t>
      </w:r>
    </w:p>
    <w:p>
      <w:pPr>
        <w:pStyle w:val="Heading4"/>
      </w:pPr>
      <w:r>
        <w:rPr>
          <w:color w:val="FF0000"/>
        </w:rPr>
        <w:t>enrich_org_ccn_size — engine medicare_enrich_org_engine.enrich_org_ccn_size (S-007)</w:t>
      </w:r>
    </w:p>
    <w:p>
      <w:pPr/>
      <w:r>
        <w:rPr>
          <w:color w:val="FF0000"/>
        </w:rPr>
        <w:t>Fanned by provider_state, organizations only (entity_type == "O"). CCN: mined deterministically from the spine's other_identifiers[] — the Medicare OSCAR/certification slot, matched by type_code == "06" or OSCAR/CERTIFICATION/CCN text. No new acquisition. size_tier: a coarse 1–5 quintile band of the certified bed count from the Provider-of-Services file, keyed by CCN. _build_pos_index builds CCN-&gt;max bed count and four quintile cut-points (0.2/0.4/0.6/0.8) over positive counts; _band places a facility. Bed counts are inpatient, so an ambulatory/no-bed facility gets size_tier=None (never fabricated). Writes only ccn and optional size_tier. Metrics: orgs, updated, size_tiered.</w:t>
      </w:r>
    </w:p>
    <w:p>
      <w:pPr>
        <w:pStyle w:val="Heading3"/>
      </w:pPr>
      <w:r>
        <w:rPr>
          <w:color w:val="FF0000"/>
        </w:rPr>
        <w:t>SpecialtyMedicare rollup — rollup_specialtymedicare / engine medicare_rollup_engine.rollup_specialtymedicare</w:t>
      </w:r>
    </w:p>
    <w:p>
      <w:pPr/>
      <w:r>
        <w:rPr>
          <w:color w:val="FF0000"/>
        </w:rPr>
        <w:t>Declared process_pool on nucc_code; currently runs as one worker over all NUCCs (BUG-014). When a real nucc_code partition is present the worker scopes to it (nucc_codes={nucc}); the placeholder passes None and rolls up every NUCC. Inputs: the finished ProviderMedicare collection, the Provider spine (for provider_count), the specialtymedicare target, optionally the provider SpecialtyMetaData (SMD) collection for the embedding. Aggregation per NUCC, over every provider carrying that NUCC in specialty: per-provider day-supply totals per drug and per indication are collected into lists so the benchmark is across providers. drugs[]: provider_count (distinct NPIs), summed total_claims/beneficiary_count/total_cost, and _stats (mean, median, four quintiles) over the per-provider day-supply list; rxcui carried when known. indications[]: provider_count, the same _stats. procedures[]: provider_count, summed service_count/beneficiary_count/allowed_amount. indications_served[]: the set of indication ids touched. provider_count on the doc is read independently from the base: provider_spine_coll.count_documents({"taxonomies.code": nucc}) — every provider carrying this NUCC in any slot. Embedding: _specialty_embedding copies the existing embedding (+embedding_model) for the NUCC from SMD — the same vector FindCare's vector search uses — rather than re-embedding; SMD absent =&gt; no embedding. The quintile cut-points define the five tiers at evaluation; these benchmark figures live only here. Batched upsert. Metrics: specialtymedicare_written, nucc_count.</w:t>
      </w:r>
    </w:p>
    <w:p>
      <w:pPr>
        <w:pStyle w:val="Heading3"/>
      </w:pPr>
      <w:r>
        <w:rPr>
          <w:color w:val="FF0000"/>
        </w:rPr>
        <w:t>Record contracts and conformance — medicare_contract_conformance / engine medicare_conformance_engine.check_conformance</w:t>
      </w:r>
    </w:p>
    <w:p>
      <w:pPr/>
      <w:r>
        <w:rPr>
          <w:color w:val="FF0000"/>
        </w:rPr>
        <w:t>Serial, after the rollup. Validates every published ProviderMedicare, SpecialtyMedicare, and IndicationMap document against its JSON Schema (under Website/schemas) using Draft202012Validator. Each collection reports checked, nonconforming, and up to 10 sample offenders (_id + first error path/message). A single nonconforming record anywhere raises a fatal exception carrying the full report, stopping the run — the collections are normative. This is the pipeline's only output-correctness gate today.</w:t>
      </w:r>
    </w:p>
    <w:p>
      <w:pPr>
        <w:pStyle w:val="Heading3"/>
      </w:pPr>
      <w:r>
        <w:rPr>
          <w:color w:val="FF0000"/>
        </w:rPr>
        <w:t>Findings vocabulary</w:t>
      </w:r>
    </w:p>
    <w:p>
      <w:pPr/>
      <w:r>
        <w:rPr>
          <w:b/>
          <w:color w:val="FF0000"/>
        </w:rPr>
        <w:t xml:space="preserve">Flag — </w:t>
      </w:r>
      <w:r>
        <w:rPr>
          <w:color w:val="FF0000"/>
        </w:rPr>
        <w:t>Medicare findings are effectively unimplemented (EPIC-010-F-007-S-011). pipeline_config.json's discrepancy_report.finding_types is a single per-env block whose vocabulary is provider-oriented (missing_npi, invalid_npi, unresolved_taxonomy_code, county_unresolvable, etc.). There is no Medicare-specific finding vocabulary, and no Medicare engine records any per-record finding — the build/enrich/rollup engines return only summary counters (billed_npis_without_spine, drug_slots_mapped, procedures_justified, size_tiered) to the manifest via logs. So: the per-record finding discipline required by S-011 and generic S-005 is not exercised; the only data-quality abort is the all-or-nothing conformance gate; the configured discrepancy_abort:1000 threshold has no Medicare findings to count; and, with the un-emitted discrepancy report, the run produces no per-record discrepancy enumeration on completion.</w:t>
      </w:r>
    </w:p>
    <w:p>
      <w:pPr>
        <w:pStyle w:val="Heading3"/>
      </w:pPr>
      <w:r>
        <w:rPr>
          <w:color w:val="FF0000"/>
        </w:rPr>
        <w:t>Infrastructure consumed from Part I</w:t>
      </w:r>
    </w:p>
    <w:p>
      <w:pPr/>
      <w:r>
        <w:rPr>
          <w:color w:val="FF0000"/>
        </w:rPr>
        <w:t>The Medicare pipeline consumes, unchanged: BasePipelineOrchestrator.run and the StepSpec DAG walk; the two-VM controller+worker compute (WORKER_COMPUTE=vm); PipelineRuntime/registry collection resolution and url-discovery; the shared source_fetch_engine, staging_loader, archive_sources; atlas_cluster_manager cluster wake/pause; the reservation + cluster_lifecycle lease and reaper; the controller heartbeat; the run-status server (:6969, S-015); controller_release (fatal_on_worker_log_db_reports, kill_active_workers, quiesce_mongo_state, empty_pipeline_staging, pause_pipeline_cluster, fire_farewell_vm_delete); the shared LLM facade (run_llm_sync); ChatHealthyLoggingService; and ChatHealthyMongoUtilities identity-scoped connections (pipelineEditor for data; pipelineController/pipelineEditor credentials carried on the VMs).</w:t>
      </w:r>
    </w:p>
    <w:p>
      <w:pPr>
        <w:pStyle w:val="Heading3"/>
      </w:pPr>
      <w:r>
        <w:rPr>
          <w:color w:val="FF0000"/>
        </w:rPr>
        <w:t>LLM usage summary</w:t>
      </w:r>
    </w:p>
    <w:p>
      <w:pPr/>
      <w:r>
        <w:rPr>
          <w:color w:val="FF0000"/>
        </w:rPr>
        <w:t>Exactly one LLM use-site exists: the product-&gt;indication crosswalk in build_indication_map, reached only on a rebuild run. Binding CH_INDICATION_MODEL (provider:model, no vendor pinned in source); temperature=0; provider-specific logprob request; one call per prescribed product; output a validated IcdCodes list; trust the call's own avg-logprob confidence (0..1), None when the provider exposes no logprobs. The call goes through run_llm_sync, though the Agent is constructed in-engine and the provider derived from the model string — the facade-centralization limitation recorded in BUG-003. url-discovery (resolving each source's URL from a page_url + instructions) is a separate LLM-assisted mechanism owned by the shared registry, not by Medicare code.</w:t>
      </w:r>
    </w:p>
    <w:p>
      <w:pPr>
        <w:pStyle w:val="Heading3"/>
      </w:pPr>
      <w:r>
        <w:rPr>
          <w:color w:val="FF0000"/>
        </w:rPr>
        <w:t>Declarative, model-free source fetching</w:t>
      </w:r>
    </w:p>
    <w:p>
      <w:pPr/>
      <w:r>
        <w:rPr>
          <w:color w:val="FF0000"/>
        </w:rPr>
        <w:t>How each source is located is data, not code, and the fan-out worker that fetches it runs no model. This supersedes the url-discovery description in the Sources, Freshness gate, Fetch and LLM-usage-summary subsections above, which resolved each source URL through an LLM-discovery agent that required an env-bound model on the worker; the declarative map below removes that per-worker model dependency.</w:t>
      </w:r>
    </w:p>
    <w:p>
      <w:pPr/>
      <w:r>
        <w:rPr>
          <w:color w:val="FF0000"/>
        </w:rPr>
        <w:t>The persistent pipeline configuration (pipeline_config) holds a prefabricated, typed fetch spec per source, keyed source_name -&gt; fetch spec. This map is the single source of truth for how each source is located. Each spec is exactly one of four typed find modes: dkan_catalog { catalog_url, dataset_title }; static_page_latest { page_url, link_suffix }; json_manifest { manifest_url, json_path }; direct_url { url }.</w:t>
      </w:r>
    </w:p>
    <w:p>
      <w:pPr/>
      <w:r>
        <w:rPr>
          <w:color w:val="FF0000"/>
        </w:rPr>
        <w:t>The Controller manufactures the fan-out assignments before it dispenses them — a Controller self-call, now shown in the Medicare detailed-run sequence. It writes one work-item per source, and each assignment carries ONLY the source_name key; no fetch parameters travel on the assignment.</w:t>
      </w:r>
    </w:p>
    <w:p>
      <w:pPr/>
      <w:r>
        <w:rPr>
          <w:color w:val="FF0000"/>
        </w:rPr>
        <w:t>The fan-out worker is a pure executor: it looks its source_name key up in the persistent config, reads the prefabricated params, builds a FetchRequest, and runs the data-fetch agent. It performs no logic, it manufactures nothing, and it runs no model.</w:t>
      </w:r>
    </w:p>
    <w:p>
      <w:pPr/>
      <w:r>
        <w:rPr>
          <w:color w:val="FF0000"/>
        </w:rPr>
        <w:t>The data-fetch agent is a pydantic-ai agent with a typed pydantic input and a typed pydantic output. The four deterministic find modes (dkan_catalog, static_page_latest, json_manifest, direct_url) resolve the download URL with no model. Only the llm_discovery mode uses a model, and the Medicare pipeline no longer uses that mode: every Medicare source resolves through a deterministic find spec.</w:t>
      </w:r>
    </w:p>
    <w:p>
      <w:pPr>
        <w:pStyle w:val="Heading3"/>
      </w:pPr>
      <w:r>
        <w:rPr>
          <w:color w:val="FF0000"/>
        </w:rPr>
        <w:t>Run failure semantics — fail hard, never green on empty, always a real reason</w:t>
      </w:r>
    </w:p>
    <w:p>
      <w:pPr/>
      <w:r>
        <w:rPr>
          <w:color w:val="FF0000"/>
        </w:rPr>
        <w:t>Failing to load a source is a FATAL abend of the run, carrying the reason. A partial or missing source is never tolerated.</w:t>
      </w:r>
    </w:p>
    <w:p>
      <w:pPr/>
      <w:r>
        <w:rPr>
          <w:color w:val="FF0000"/>
        </w:rPr>
        <w:t>A fan-out worker that cannot claim legitimate work does NOT exit green. Absence of claimable work is not success.</w:t>
      </w:r>
    </w:p>
    <w:p>
      <w:pPr/>
      <w:r>
        <w:rPr>
          <w:color w:val="FF0000"/>
        </w:rPr>
        <w:t>Every failed run always records a real failure reason, resolved in this precedence: the worker's per-partition error if one is present; else an exception that reached the Controller; else a step-level reason derived from the run's own step status — "run did not proceed past step &lt;name&gt; (&lt;failed&gt;/&lt;total&gt; partitions failed)". The discrepancy report renders that reason and is titled by the pipeline's display name.</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F935" w14:textId="77777777" w:rsidR="00D27770" w:rsidRDefault="00D27770" w:rsidP="000B69D9">
      <w:pPr>
        <w:spacing w:after="0" w:line="240" w:lineRule="auto"/>
      </w:pPr>
      <w:r>
        <w:separator/>
      </w:r>
    </w:p>
  </w:endnote>
  <w:endnote w:type="continuationSeparator" w:id="0">
    <w:p w14:paraId="61DE0060" w14:textId="77777777" w:rsidR="00D27770" w:rsidRDefault="00D27770"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5DC3" w14:textId="77777777" w:rsidR="00D27770" w:rsidRDefault="00D27770" w:rsidP="000B69D9">
      <w:pPr>
        <w:spacing w:after="0" w:line="240" w:lineRule="auto"/>
      </w:pPr>
      <w:r>
        <w:separator/>
      </w:r>
    </w:p>
  </w:footnote>
  <w:footnote w:type="continuationSeparator" w:id="0">
    <w:p w14:paraId="07B84640" w14:textId="77777777" w:rsidR="00D27770" w:rsidRDefault="00D27770"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103</Pages>
  <Words>34973</Words>
  <Characters>199347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2026-10-05T21:19:00Z</dcterms:created>
  <dcterms:modified xsi:type="dcterms:W3CDTF">2026-10-08T20:54:00Z</dcterms:modified>
  <cp:category/>
  <cp:contentStatus>Approved</cp:contentStatus>
</cp:coreProperties>
</file>