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00"/>
        <w:jc w:val="center"/>
      </w:pPr>
      <w:r>
        <w:rPr>
          <w:rFonts w:ascii="Calibri" w:cs="Calibri" w:eastAsia="Calibri" w:hAnsi="Calibri"/>
          <w:b/>
          <w:bCs/>
          <w:color w:val="1B474D"/>
          <w:sz w:val="52"/>
          <w:szCs w:val="52"/>
        </w:rPr>
        <w:t xml:space="preserve">ChatHealthy.ai</w:t>
      </w:r>
    </w:p>
    <w:p>
      <w:pPr>
        <w:spacing w:after="80"/>
        <w:jc w:val="center"/>
      </w:pPr>
      <w:r>
        <w:rPr>
          <w:rFonts w:ascii="Calibri" w:cs="Calibri" w:eastAsia="Calibri" w:hAnsi="Calibri"/>
          <w:color w:val="01696F"/>
          <w:sz w:val="32"/>
          <w:szCs w:val="32"/>
        </w:rPr>
        <w:t xml:space="preserve">External Architecture Audit</w:t>
      </w:r>
    </w:p>
    <w:p>
      <w:pPr>
        <w:spacing w:after="80"/>
        <w:jc w:val="center"/>
      </w:pPr>
      <w:r>
        <w:rPr>
          <w:rFonts w:ascii="Calibri" w:cs="Calibri" w:eastAsia="Calibri" w:hAnsi="Calibri"/>
          <w:i/>
          <w:iCs/>
          <w:color w:val="7A7974"/>
          <w:sz w:val="24"/>
          <w:szCs w:val="24"/>
        </w:rPr>
        <w:t xml:space="preserve">Prompt Factory Design Review Edition</w:t>
      </w:r>
    </w:p>
    <w:p>
      <w:pPr>
        <w:spacing w:after="60"/>
        <w:jc w:val="center"/>
      </w:pPr>
      <w:r>
        <w:rPr>
          <w:rFonts w:ascii="Calibri" w:cs="Calibri" w:eastAsia="Calibri" w:hAnsi="Calibri"/>
          <w:color w:val="7A7974"/>
          <w:sz w:val="20"/>
          <w:szCs w:val="20"/>
        </w:rPr>
        <w:t xml:space="preserve">Date: April 14, 2026</w:t>
      </w:r>
    </w:p>
    <w:p>
      <w:pPr>
        <w:spacing w:after="400"/>
        <w:jc w:val="center"/>
      </w:pPr>
      <w:r>
        <w:rPr>
          <w:rFonts w:ascii="Calibri" w:cs="Calibri" w:eastAsia="Calibri" w:hAnsi="Calibri"/>
          <w:i/>
          <w:iCs/>
          <w:color w:val="7A7974"/>
          <w:sz w:val="18"/>
          <w:szCs w:val="18"/>
        </w:rPr>
        <w:t xml:space="preserve">Audited artifacts: image.jpg (Prompt Architecture diagram), ClaudeChatHealthy_Codebase_Audit_Report.docx, agile_backlog.json</w:t>
      </w:r>
    </w:p>
    <w:p>
      <w:r>
        <w:br w:type="page"/>
      </w:r>
    </w:p>
    <w:p>
      <w:pPr>
        <w:pStyle w:val="Heading1"/>
        <w:pBdr>
          <w:bottom w:val="single" w:color="01696F" w:sz="6"/>
        </w:pBdr>
        <w:spacing w:after="120" w:before="360"/>
        <w:rPr>
          <w:rFonts w:ascii="Calibri" w:cs="Calibri" w:eastAsia="Calibri" w:hAnsi="Calibri"/>
          <w:b/>
          <w:bCs/>
          <w:color w:val="1B474D"/>
        </w:rPr>
      </w:pPr>
      <w:r>
        <w:t xml:space="preserve">Table of Contents</w:t>
      </w:r>
    </w:p>
    <w:p>
      <w:pPr>
        <w:spacing w:after="100"/>
        <w:jc w:val="both"/>
      </w:pPr>
      <w:r>
        <w:rPr>
          <w:rFonts w:ascii="Calibri" w:cs="Calibri" w:eastAsia="Calibri" w:hAnsi="Calibri"/>
          <w:color w:val="28251D"/>
          <w:sz w:val="20"/>
          <w:szCs w:val="20"/>
        </w:rPr>
        <w:t xml:space="preserve">1. Executive Findings</w:t>
      </w:r>
    </w:p>
    <w:p>
      <w:pPr>
        <w:spacing w:after="100"/>
        <w:jc w:val="both"/>
      </w:pPr>
      <w:r>
        <w:rPr>
          <w:rFonts w:ascii="Calibri" w:cs="Calibri" w:eastAsia="Calibri" w:hAnsi="Calibri"/>
          <w:color w:val="28251D"/>
          <w:sz w:val="20"/>
          <w:szCs w:val="20"/>
        </w:rPr>
        <w:t xml:space="preserve">2. Overall Opinion</w:t>
      </w:r>
    </w:p>
    <w:p>
      <w:pPr>
        <w:spacing w:after="100"/>
        <w:jc w:val="both"/>
      </w:pPr>
      <w:r>
        <w:rPr>
          <w:rFonts w:ascii="Calibri" w:cs="Calibri" w:eastAsia="Calibri" w:hAnsi="Calibri"/>
          <w:color w:val="28251D"/>
          <w:sz w:val="20"/>
          <w:szCs w:val="20"/>
        </w:rPr>
        <w:t xml:space="preserve">3. Status Changes</w:t>
      </w:r>
    </w:p>
    <w:p>
      <w:pPr>
        <w:spacing w:after="100"/>
        <w:jc w:val="both"/>
      </w:pPr>
      <w:r>
        <w:rPr>
          <w:rFonts w:ascii="Calibri" w:cs="Calibri" w:eastAsia="Calibri" w:hAnsi="Calibri"/>
          <w:color w:val="28251D"/>
          <w:sz w:val="20"/>
          <w:szCs w:val="20"/>
        </w:rPr>
        <w:t xml:space="preserve">4. Residual Risks</w:t>
      </w:r>
    </w:p>
    <w:p>
      <w:pPr>
        <w:spacing w:after="100"/>
        <w:jc w:val="both"/>
      </w:pPr>
      <w:r>
        <w:rPr>
          <w:rFonts w:ascii="Calibri" w:cs="Calibri" w:eastAsia="Calibri" w:hAnsi="Calibri"/>
          <w:color w:val="28251D"/>
          <w:sz w:val="20"/>
          <w:szCs w:val="20"/>
        </w:rPr>
        <w:t xml:space="preserve">5. Missed Requirement</w:t>
      </w:r>
    </w:p>
    <w:p>
      <w:pPr>
        <w:spacing w:after="100"/>
        <w:jc w:val="both"/>
      </w:pPr>
      <w:r>
        <w:rPr>
          <w:rFonts w:ascii="Calibri" w:cs="Calibri" w:eastAsia="Calibri" w:hAnsi="Calibri"/>
          <w:color w:val="28251D"/>
          <w:sz w:val="20"/>
          <w:szCs w:val="20"/>
        </w:rPr>
        <w:t xml:space="preserve">6. Recommendations: Facade-per-Epic Pattern</w:t>
      </w:r>
    </w:p>
    <w:p>
      <w:pPr>
        <w:spacing w:after="100"/>
        <w:jc w:val="both"/>
      </w:pPr>
      <w:r>
        <w:rPr>
          <w:rFonts w:ascii="Calibri" w:cs="Calibri" w:eastAsia="Calibri" w:hAnsi="Calibri"/>
          <w:color w:val="28251D"/>
          <w:sz w:val="20"/>
          <w:szCs w:val="20"/>
        </w:rPr>
        <w:t xml:space="preserve">7. Requirements Appendix</w:t>
      </w:r>
    </w:p>
    <w:p>
      <w:pPr>
        <w:spacing w:after="160"/>
      </w:pPr>
      <w:r>
        <w:t xml:space="preserve"/>
      </w:r>
    </w:p>
    <w:p>
      <w:pPr>
        <w:pStyle w:val="Heading1"/>
        <w:pBdr>
          <w:bottom w:val="single" w:color="01696F" w:sz="6"/>
        </w:pBdr>
        <w:spacing w:after="120" w:before="360"/>
        <w:rPr>
          <w:rFonts w:ascii="Calibri" w:cs="Calibri" w:eastAsia="Calibri" w:hAnsi="Calibri"/>
          <w:b/>
          <w:bCs/>
          <w:color w:val="1B474D"/>
        </w:rPr>
      </w:pPr>
      <w:r>
        <w:t xml:space="preserve">1. Executive Findings</w:t>
      </w:r>
    </w:p>
    <w:p>
      <w:pPr>
        <w:spacing w:after="100"/>
        <w:jc w:val="both"/>
      </w:pPr>
      <w:r>
        <w:rPr>
          <w:rFonts w:ascii="Calibri" w:cs="Calibri" w:eastAsia="Calibri" w:hAnsi="Calibri"/>
          <w:color w:val="28251D"/>
          <w:sz w:val="20"/>
          <w:szCs w:val="20"/>
        </w:rPr>
        <w:t xml:space="preserve">The proposed Prompt Factory architecture diagram ("1 Prompt does all the work via a prompt factory") was reviewed in full alongside the 13-finding Claude codebase audit and the agile_backlog.json artifact. The design introduces a centralized routing and manufacturing layer that intercepts all user intents, classifies them against a deterministic rule set, and routes to downstream deterministic tool calls — returning structured output with strict schema enforcement. This approach is architecturally coherent and directly addresses the root cause of the single most critical cluster of findings in the audit: the silent bypass of backend capabilities caused by FindCareApp's direct /classify+/search path.</w:t>
      </w:r>
    </w:p>
    <w:p>
      <w:pPr>
        <w:spacing w:after="100"/>
        <w:jc w:val="both"/>
      </w:pPr>
      <w:r>
        <w:rPr>
          <w:rFonts w:ascii="Calibri" w:cs="Calibri" w:eastAsia="Calibri" w:hAnsi="Calibri"/>
          <w:color w:val="28251D"/>
          <w:sz w:val="20"/>
          <w:szCs w:val="20"/>
        </w:rPr>
        <w:t xml:space="preserve">Six of the thirteen audit findings are wholly or partially addressed at the design level by this proposal. The design closes the conceptual gap on FindCareApp UI Bypass (Finding 1), Context Carry-Forward regression (Finding 2), LLM Narrative Response inaccessibility (Finding 8), URL Guardian dead-coding (Finding 5), Dynamic Context Loading inefficiency (Finding 11), and the Specialty Ranker limbo state (Finding 7). Implementation evidence is not yet available for any of these — the design resolves them in intent only, which is the correct first step before a story is written and code is touched.</w:t>
      </w:r>
    </w:p>
    <w:p>
      <w:pPr>
        <w:spacing w:after="80"/>
      </w:pPr>
      <w:r>
        <w:t xml:space="preserve"/>
      </w:r>
    </w:p>
    <w:p>
      <w:pPr>
        <w:pStyle w:val="Heading1"/>
        <w:pBdr>
          <w:bottom w:val="single" w:color="01696F" w:sz="6"/>
        </w:pBdr>
        <w:spacing w:after="120" w:before="360"/>
        <w:rPr>
          <w:rFonts w:ascii="Calibri" w:cs="Calibri" w:eastAsia="Calibri" w:hAnsi="Calibri"/>
          <w:b/>
          <w:bCs/>
          <w:color w:val="1B474D"/>
        </w:rPr>
      </w:pPr>
      <w:r>
        <w:t xml:space="preserve">2. Overall Opinion</w:t>
      </w:r>
    </w:p>
    <w:p>
      <w:pPr>
        <w:spacing w:after="100"/>
        <w:jc w:val="both"/>
      </w:pPr>
      <w:r>
        <w:rPr>
          <w:rFonts w:ascii="Calibri" w:cs="Calibri" w:eastAsia="Calibri" w:hAnsi="Calibri"/>
          <w:color w:val="28251D"/>
          <w:sz w:val="20"/>
          <w:szCs w:val="20"/>
        </w:rPr>
        <w:t xml:space="preserve">The Prompt Factory design is sound and should be adopted as the governing architecture for all AI query handling in ChatHealthy FindCare. The fundamental principle — that a single structured input object carrying prompt history (user + machine turns) and user context flows into a factory that manufactures a multi-part prompt, routes via deterministic rules, and returns strictly-schemaed structured output — directly solves the proliferation of ad hoc call sites that the audit identified as the proximate cause of capability loss.</w:t>
      </w:r>
    </w:p>
    <w:p>
      <w:pPr>
        <w:spacing w:after="100"/>
        <w:jc w:val="both"/>
      </w:pPr>
      <w:r>
        <w:rPr>
          <w:rFonts w:ascii="Calibri" w:cs="Calibri" w:eastAsia="Calibri" w:hAnsi="Calibri"/>
          <w:color w:val="28251D"/>
          <w:sz w:val="20"/>
          <w:szCs w:val="20"/>
        </w:rPr>
        <w:t xml:space="preserve">The three-way discussion between Claude, GPT, and yourself converged on the correct constraint: the only viable path to avoiding a bottleneck at the factory layer is to place each epic behind its own child class of a Facade, with the Prompt Factory serving as the interface to prompt production. This is the classical Gang-of-Four Facade pattern applied to LLM orchestration, and it is the right call. A monolithic factory that handles all nine epics in a single class would become a God Object and reintroduce the exact maintenance and regression risk the audit is meant to eliminate. One child class per epic means one failure domain, one test surface, and one deployment unit per capability cluster.</w:t>
      </w:r>
    </w:p>
    <w:p>
      <w:pPr>
        <w:spacing w:after="80"/>
      </w:pPr>
      <w:r>
        <w:t xml:space="preserve"/>
      </w:r>
    </w:p>
    <w:p>
      <w:pPr>
        <w:pStyle w:val="Heading1"/>
        <w:pBdr>
          <w:bottom w:val="single" w:color="01696F" w:sz="6"/>
        </w:pBdr>
        <w:spacing w:after="120" w:before="360"/>
        <w:rPr>
          <w:rFonts w:ascii="Calibri" w:cs="Calibri" w:eastAsia="Calibri" w:hAnsi="Calibri"/>
          <w:b/>
          <w:bCs/>
          <w:color w:val="1B474D"/>
        </w:rPr>
      </w:pPr>
      <w:r>
        <w:t xml:space="preserve">3. Status Changes</w:t>
      </w:r>
    </w:p>
    <w:p>
      <w:pPr>
        <w:spacing w:after="80" w:before="280"/>
      </w:pPr>
      <w:r>
        <w:rPr>
          <w:rFonts w:ascii="Calibri" w:cs="Calibri" w:eastAsia="Calibri" w:hAnsi="Calibri"/>
          <w:b/>
          <w:bCs/>
          <w:color w:val="1B474D"/>
          <w:sz w:val="26"/>
          <w:szCs w:val="26"/>
        </w:rPr>
        <w:t xml:space="preserve">Design-Resolved, Implementation Evidence Pending</w:t>
      </w:r>
    </w:p>
    <w:p>
      <w:pPr>
        <w:spacing w:after="100"/>
        <w:jc w:val="both"/>
      </w:pPr>
      <w:r>
        <w:rPr>
          <w:rFonts w:ascii="Calibri" w:cs="Calibri" w:eastAsia="Calibri" w:hAnsi="Calibri"/>
          <w:color w:val="28251D"/>
          <w:sz w:val="20"/>
          <w:szCs w:val="20"/>
        </w:rPr>
        <w:t xml:space="preserve">The following findings from the Claude audit change status from OPEN to Design-resolved, implementation evidence pending as a result of the Prompt Factory diagram:</w:t>
      </w:r>
    </w:p>
    <w:p>
      <w:pPr>
        <w:spacing w:after="60" w:before="200"/>
      </w:pPr>
      <w:r>
        <w:rPr>
          <w:rFonts w:ascii="Calibri" w:cs="Calibri" w:eastAsia="Calibri" w:hAnsi="Calibri"/>
          <w:b/>
          <w:bCs/>
          <w:color w:val="01696F"/>
          <w:sz w:val="22"/>
          <w:szCs w:val="22"/>
        </w:rPr>
        <w:t xml:space="preserve">Finding 1 — FindCareApp /chat Bypass (CRITICAL)</w:t>
      </w:r>
    </w:p>
    <w:p>
      <w:pPr>
        <w:spacing w:after="100"/>
        <w:jc w:val="both"/>
      </w:pPr>
      <w:r>
        <w:rPr>
          <w:rFonts w:ascii="Calibri" w:cs="Calibri" w:eastAsia="Calibri" w:hAnsi="Calibri"/>
          <w:color w:val="28251D"/>
          <w:sz w:val="20"/>
          <w:szCs w:val="20"/>
        </w:rPr>
        <w:t xml:space="preserve">The diagram's central routing flow — Prompt Factory → AI Routes → One tool responds with branches → Structured output with strict schema — closes the architectural gap that caused six backend capabilities to be unreachable. By making the factory the single entry point for all user intents, FindCareApp can no longer bypass the backend by calling /classify and /search directly without passing through the prompt manufacturing and routing layer. Status: Design-resolved, implementation evidence pending.</w:t>
      </w:r>
    </w:p>
    <w:p>
      <w:pPr>
        <w:spacing w:after="60" w:before="200"/>
      </w:pPr>
      <w:r>
        <w:rPr>
          <w:rFonts w:ascii="Calibri" w:cs="Calibri" w:eastAsia="Calibri" w:hAnsi="Calibri"/>
          <w:b/>
          <w:bCs/>
          <w:color w:val="01696F"/>
          <w:sz w:val="22"/>
          <w:szCs w:val="22"/>
        </w:rPr>
        <w:t xml:space="preserve">Finding 2 — Context Carry-Forward Regression (CRITICAL)</w:t>
      </w:r>
    </w:p>
    <w:p>
      <w:pPr>
        <w:spacing w:after="100"/>
        <w:jc w:val="both"/>
      </w:pPr>
      <w:r>
        <w:rPr>
          <w:rFonts w:ascii="Calibri" w:cs="Calibri" w:eastAsia="Calibri" w:hAnsi="Calibri"/>
          <w:color w:val="28251D"/>
          <w:sz w:val="20"/>
          <w:szCs w:val="20"/>
        </w:rPr>
        <w:t xml:space="preserve">The Prompt Factory input object explicitly carries Prompt history (User + Machine turns) and User Context. This means state — last_state, last_specialty, prior turns — is a first-class input to every factory invocation. The stateless /classify call that caused the regression has no place in this architecture; context is manufactured into the prompt, not rediscovered from scratch on each call. Status: Design-resolved, implementation evidence pending.</w:t>
      </w:r>
    </w:p>
    <w:p>
      <w:pPr>
        <w:spacing w:after="60" w:before="200"/>
      </w:pPr>
      <w:r>
        <w:rPr>
          <w:rFonts w:ascii="Calibri" w:cs="Calibri" w:eastAsia="Calibri" w:hAnsi="Calibri"/>
          <w:b/>
          <w:bCs/>
          <w:color w:val="01696F"/>
          <w:sz w:val="22"/>
          <w:szCs w:val="22"/>
        </w:rPr>
        <w:t xml:space="preserve">Finding 8 — LLM Narrative Response Inaccessibility (MEDIUM)</w:t>
      </w:r>
    </w:p>
    <w:p>
      <w:pPr>
        <w:spacing w:after="100"/>
        <w:jc w:val="both"/>
      </w:pPr>
      <w:r>
        <w:rPr>
          <w:rFonts w:ascii="Calibri" w:cs="Calibri" w:eastAsia="Calibri" w:hAnsi="Calibri"/>
          <w:color w:val="28251D"/>
          <w:sz w:val="20"/>
          <w:szCs w:val="20"/>
        </w:rPr>
        <w:t xml:space="preserve">The right-hand side of the diagram shows "One tool responds with branches" routing to a "Structured output with strict schema." This path naturally accommodates narrative LLM responses alongside deterministic tool results, since the factory's output schema can include a narrative_response field alongside provider_cards, care_giver_results, clinical_trial_results, and facility_choices. FindCareApp then renders whatever fields are present. Status: Design-resolved, implementation evidence pending.</w:t>
      </w:r>
    </w:p>
    <w:p>
      <w:pPr>
        <w:spacing w:after="60" w:before="200"/>
      </w:pPr>
      <w:r>
        <w:rPr>
          <w:rFonts w:ascii="Calibri" w:cs="Calibri" w:eastAsia="Calibri" w:hAnsi="Calibri"/>
          <w:b/>
          <w:bCs/>
          <w:color w:val="01696F"/>
          <w:sz w:val="22"/>
          <w:szCs w:val="22"/>
        </w:rPr>
        <w:t xml:space="preserve">Finding 5 — URL Guardian Dead-Coded (HIGH)</w:t>
      </w:r>
    </w:p>
    <w:p>
      <w:pPr>
        <w:spacing w:after="100"/>
        <w:jc w:val="both"/>
      </w:pPr>
      <w:r>
        <w:rPr>
          <w:rFonts w:ascii="Calibri" w:cs="Calibri" w:eastAsia="Calibri" w:hAnsi="Calibri"/>
          <w:color w:val="28251D"/>
          <w:sz w:val="20"/>
          <w:szCs w:val="20"/>
        </w:rPr>
        <w:t xml:space="preserve">The strict output schema shown in the diagram enforces structure on every LLM response before it reaches the frontend. A URL validation step belongs naturally as a post-processing transform inside the factory's output pipeline — between the LLM call and the schema serialization. Restoring url_guardian.py's guard_tool_result and check_url into this pipeline layer is a one-story implementation task now that the architecture provides the correct hook. Status: Design-resolved, implementation evidence pending.</w:t>
      </w:r>
    </w:p>
    <w:p>
      <w:pPr>
        <w:spacing w:after="60" w:before="200"/>
      </w:pPr>
      <w:r>
        <w:rPr>
          <w:rFonts w:ascii="Calibri" w:cs="Calibri" w:eastAsia="Calibri" w:hAnsi="Calibri"/>
          <w:b/>
          <w:bCs/>
          <w:color w:val="01696F"/>
          <w:sz w:val="22"/>
          <w:szCs w:val="22"/>
        </w:rPr>
        <w:t xml:space="preserve">Finding 7 — Specialty Ranker Limbo (MEDIUM)</w:t>
      </w:r>
    </w:p>
    <w:p>
      <w:pPr>
        <w:spacing w:after="100"/>
        <w:jc w:val="both"/>
      </w:pPr>
      <w:r>
        <w:rPr>
          <w:rFonts w:ascii="Calibri" w:cs="Calibri" w:eastAsia="Calibri" w:hAnsi="Calibri"/>
          <w:color w:val="28251D"/>
          <w:sz w:val="20"/>
          <w:szCs w:val="20"/>
        </w:rPr>
        <w:t xml:space="preserve">The diagram shows the Prompt Factory consuming structured input and producing routing choices via deterministic rules. The specialty ranker (DC-003, rank_specialties) maps cleanly to a post-classification enrichment step inside the FC-SEARCH child facade, operating between the vector search result and the structured output assembly. The formal decide-gate story recommended in the audit remains the governance action; the architecture now provides a home for the ranker if it passes. Status: Design-resolved, implementation evidence pending.</w:t>
      </w:r>
    </w:p>
    <w:p>
      <w:pPr>
        <w:spacing w:after="60" w:before="200"/>
      </w:pPr>
      <w:r>
        <w:rPr>
          <w:rFonts w:ascii="Calibri" w:cs="Calibri" w:eastAsia="Calibri" w:hAnsi="Calibri"/>
          <w:b/>
          <w:bCs/>
          <w:color w:val="01696F"/>
          <w:sz w:val="22"/>
          <w:szCs w:val="22"/>
        </w:rPr>
        <w:t xml:space="preserve">Finding 11 — Dynamic Context Loading Inefficiency (LOW)</w:t>
      </w:r>
    </w:p>
    <w:p>
      <w:pPr>
        <w:spacing w:after="100"/>
        <w:jc w:val="both"/>
      </w:pPr>
      <w:r>
        <w:rPr>
          <w:rFonts w:ascii="Calibri" w:cs="Calibri" w:eastAsia="Calibri" w:hAnsi="Calibri"/>
          <w:color w:val="28251D"/>
          <w:sz w:val="20"/>
          <w:szCs w:val="20"/>
        </w:rPr>
        <w:t xml:space="preserve">The factory's structured input includes User Context as a discrete field. Selective loading of me/ context documents based on detected intent is a natural implementation detail inside the factory's input assembly phase, not a cross-cutting concern. This is easier to implement correctly inside the factory than as a pre-processing step on the raw /chat endpoint. Status: Design-resolved, implementation evidence pending.</w:t>
      </w:r>
    </w:p>
    <w:p>
      <w:pPr>
        <w:spacing w:after="80"/>
      </w:pPr>
      <w:r>
        <w:t xml:space="preserve"/>
      </w:r>
    </w:p>
    <w:p>
      <w:pPr>
        <w:spacing w:after="80" w:before="280"/>
      </w:pPr>
      <w:r>
        <w:rPr>
          <w:rFonts w:ascii="Calibri" w:cs="Calibri" w:eastAsia="Calibri" w:hAnsi="Calibri"/>
          <w:b/>
          <w:bCs/>
          <w:color w:val="1B474D"/>
          <w:sz w:val="26"/>
          <w:szCs w:val="26"/>
        </w:rPr>
        <w:t xml:space="preserve">Unchanged — Design Does Not Address</w:t>
      </w:r>
    </w:p>
    <w:p>
      <w:pPr>
        <w:spacing w:after="100"/>
        <w:jc w:val="both"/>
      </w:pPr>
      <w:r>
        <w:rPr>
          <w:rFonts w:ascii="Calibri" w:cs="Calibri" w:eastAsia="Calibri" w:hAnsi="Calibri"/>
          <w:color w:val="28251D"/>
          <w:sz w:val="20"/>
          <w:szCs w:val="20"/>
        </w:rPr>
        <w:t xml:space="preserve">The following findings are not affected by the Prompt Factory design and remain open with their original priority:</w:t>
      </w:r>
    </w:p>
    <w:p>
      <w:pPr>
        <w:pStyle w:val="ListParagraph"/>
        <w:numPr>
          <w:ilvl w:val="0"/>
          <w:numId w:val="1"/>
        </w:numPr>
        <w:spacing w:after="80"/>
      </w:pPr>
      <w:r>
        <w:rPr>
          <w:rFonts w:ascii="Calibri" w:cs="Calibri" w:eastAsia="Calibri" w:hAnsi="Calibri"/>
          <w:color w:val="28251D"/>
          <w:sz w:val="20"/>
          <w:szCs w:val="20"/>
        </w:rPr>
        <w:t xml:space="preserve">Finding 3 — UMLS CPT Code Compliance (HIGH / PRE-LAUNCH BLOCKER). Compliance filtering is a data-layer concern, not a prompt routing concern. BUG-LEGAL-001 and UMLS-COMPLIANCE remain open. GPT's note in the audit — integrate compliance filtering layer into the prompt architecture — is worth incorporating as a post-output filter inside the factory, but the legal obligation to complete CPT audit, NLM notification, and geo-fencing is unaffected by this design.</w:t>
      </w:r>
    </w:p>
    <w:p>
      <w:pPr>
        <w:pStyle w:val="ListParagraph"/>
        <w:numPr>
          <w:ilvl w:val="0"/>
          <w:numId w:val="1"/>
        </w:numPr>
        <w:spacing w:after="80"/>
      </w:pPr>
      <w:r>
        <w:rPr>
          <w:rFonts w:ascii="Calibri" w:cs="Calibri" w:eastAsia="Calibri" w:hAnsi="Calibri"/>
          <w:color w:val="28251D"/>
          <w:sz w:val="20"/>
          <w:szCs w:val="20"/>
        </w:rPr>
        <w:t xml:space="preserve">Finding 4 — ChatWindow.tsx Formal Retirement (HIGH). A governance story, not an architectural one. Must be filed regardless of the factory design.</w:t>
      </w:r>
    </w:p>
    <w:p>
      <w:pPr>
        <w:pStyle w:val="ListParagraph"/>
        <w:numPr>
          <w:ilvl w:val="0"/>
          <w:numId w:val="1"/>
        </w:numPr>
        <w:spacing w:after="80"/>
      </w:pPr>
      <w:r>
        <w:rPr>
          <w:rFonts w:ascii="Calibri" w:cs="Calibri" w:eastAsia="Calibri" w:hAnsi="Calibri"/>
          <w:color w:val="28251D"/>
          <w:sz w:val="20"/>
          <w:szCs w:val="20"/>
        </w:rPr>
        <w:t xml:space="preserve">Finding 6 — Regex Specialty Fallback for Missing Vector Index (MEDIUM). An infrastructure resilience concern. The factory routes to the vector search; if the index is missing, the factory still fails. The try/except fallback in specialty_service.py is still required.</w:t>
      </w:r>
    </w:p>
    <w:p>
      <w:pPr>
        <w:pStyle w:val="ListParagraph"/>
        <w:numPr>
          <w:ilvl w:val="0"/>
          <w:numId w:val="1"/>
        </w:numPr>
        <w:spacing w:after="80"/>
      </w:pPr>
      <w:r>
        <w:rPr>
          <w:rFonts w:ascii="Calibri" w:cs="Calibri" w:eastAsia="Calibri" w:hAnsi="Calibri"/>
          <w:color w:val="28251D"/>
          <w:sz w:val="20"/>
          <w:szCs w:val="20"/>
        </w:rPr>
        <w:t xml:space="preserve">Finding 9 — HuggingFace mTLS Deployment (MEDIUM / PRE-LAUNCH BLOCKER). A network/security layer concern. The factory is internal to the service; mTLS governs service-to-service communication at a layer below the factory. BUG-SEC-001 and SEC-CERTAUTH-REMOTE remain open.</w:t>
      </w:r>
    </w:p>
    <w:p>
      <w:pPr>
        <w:pStyle w:val="ListParagraph"/>
        <w:numPr>
          <w:ilvl w:val="0"/>
          <w:numId w:val="1"/>
        </w:numPr>
        <w:spacing w:after="80"/>
      </w:pPr>
      <w:r>
        <w:rPr>
          <w:rFonts w:ascii="Calibri" w:cs="Calibri" w:eastAsia="Calibri" w:hAnsi="Calibri"/>
          <w:color w:val="28251D"/>
          <w:sz w:val="20"/>
          <w:szCs w:val="20"/>
        </w:rPr>
        <w:t xml:space="preserve">Finding 10 — Brain Loop MongoDB Migration (LOW). Internal DevOps tooling. Not in scope for the factory design.</w:t>
      </w:r>
    </w:p>
    <w:p>
      <w:pPr>
        <w:pStyle w:val="ListParagraph"/>
        <w:numPr>
          <w:ilvl w:val="0"/>
          <w:numId w:val="1"/>
        </w:numPr>
        <w:spacing w:after="80"/>
      </w:pPr>
      <w:r>
        <w:rPr>
          <w:rFonts w:ascii="Calibri" w:cs="Calibri" w:eastAsia="Calibri" w:hAnsi="Calibri"/>
          <w:color w:val="28251D"/>
          <w:sz w:val="20"/>
          <w:szCs w:val="20"/>
        </w:rPr>
        <w:t xml:space="preserve">Finding 12 — Google Maps Provider Location Map (LOW). A frontend UX feature. Not in scope.</w:t>
      </w:r>
    </w:p>
    <w:p>
      <w:pPr>
        <w:pStyle w:val="ListParagraph"/>
        <w:numPr>
          <w:ilvl w:val="0"/>
          <w:numId w:val="1"/>
        </w:numPr>
        <w:spacing w:after="80"/>
      </w:pPr>
      <w:r>
        <w:rPr>
          <w:rFonts w:ascii="Calibri" w:cs="Calibri" w:eastAsia="Calibri" w:hAnsi="Calibri"/>
          <w:color w:val="28251D"/>
          <w:sz w:val="20"/>
          <w:szCs w:val="20"/>
        </w:rPr>
        <w:t xml:space="preserve">Finding 13 — EvaluateCare Scoring Engine (LOW). Planned future features. Not regressions; continue per sprint planning.</w:t>
      </w:r>
    </w:p>
    <w:p>
      <w:pPr>
        <w:spacing w:after="80"/>
      </w:pPr>
      <w:r>
        <w:t xml:space="preserve"/>
      </w:r>
    </w:p>
    <w:p>
      <w:pPr>
        <w:pStyle w:val="Heading1"/>
        <w:pBdr>
          <w:bottom w:val="single" w:color="01696F" w:sz="6"/>
        </w:pBdr>
        <w:spacing w:after="120" w:before="360"/>
        <w:rPr>
          <w:rFonts w:ascii="Calibri" w:cs="Calibri" w:eastAsia="Calibri" w:hAnsi="Calibri"/>
          <w:b/>
          <w:bCs/>
          <w:color w:val="1B474D"/>
        </w:rPr>
      </w:pPr>
      <w:r>
        <w:t xml:space="preserve">4. Residual Risks</w:t>
      </w:r>
    </w:p>
    <w:p>
      <w:pPr>
        <w:spacing w:after="100"/>
        <w:jc w:val="both"/>
      </w:pPr>
      <w:r>
        <w:rPr>
          <w:rFonts w:ascii="Calibri" w:cs="Calibri" w:eastAsia="Calibri" w:hAnsi="Calibri"/>
          <w:color w:val="28251D"/>
          <w:sz w:val="20"/>
          <w:szCs w:val="20"/>
        </w:rPr>
        <w:t xml:space="preserve">The Prompt Factory design introduces one structural risk that was not present in the prior ad hoc architecture and must be explicitly managed: factory-layer bottleneck concentration. If the factory class (or its base class) contains shared mutable state, connection pools, or synchronous blocking calls, every epic's child facade inherits that risk. The three-way discussion correctly identified this as the central implementation constraint. The mitigation — one child class per epic, each independently deployable and independently testable — is the right answer, but it must be enforced as a governance rule in ARCH-GOV (currently NOT_STARTED in agile_backlog.json). A child class that reaches into a sibling child class's methods recreates the bottleneck in a different location.</w:t>
      </w:r>
    </w:p>
    <w:p>
      <w:pPr>
        <w:spacing w:after="100"/>
        <w:jc w:val="both"/>
      </w:pPr>
      <w:r>
        <w:rPr>
          <w:rFonts w:ascii="Calibri" w:cs="Calibri" w:eastAsia="Calibri" w:hAnsi="Calibri"/>
          <w:color w:val="28251D"/>
          <w:sz w:val="20"/>
          <w:szCs w:val="20"/>
        </w:rPr>
        <w:t xml:space="preserve">A secondary residual risk is schema drift between the factory's strict output schema and the deterministic tool contracts for CaregiverTool, ClinicalTrialTool, and FacilityChoices shown on the right side of the diagram. The diagram correctly marks all three as deterministic, but deterministic tools can still change their output shape during development. The SchemaDriftDetector (PIPE-SCHEMA, IMPLEMENTED) must be extended to cover factory output schemas, not just pipeline schemas. Without this extension, the factory's "strict schema" guarantee degrades silently as tool contracts evolve.</w:t>
      </w:r>
    </w:p>
    <w:p>
      <w:pPr>
        <w:spacing w:after="80"/>
      </w:pPr>
      <w:r>
        <w:t xml:space="preserve"/>
      </w:r>
    </w:p>
    <w:p>
      <w:pPr>
        <w:pStyle w:val="Heading1"/>
        <w:pBdr>
          <w:bottom w:val="single" w:color="01696F" w:sz="6"/>
        </w:pBdr>
        <w:spacing w:after="120" w:before="360"/>
        <w:rPr>
          <w:rFonts w:ascii="Calibri" w:cs="Calibri" w:eastAsia="Calibri" w:hAnsi="Calibri"/>
          <w:b/>
          <w:bCs/>
          <w:color w:val="1B474D"/>
        </w:rPr>
      </w:pPr>
      <w:r>
        <w:t xml:space="preserve">5. Missed Requirement</w:t>
      </w:r>
    </w:p>
    <w:p>
      <w:pPr>
        <w:spacing w:after="100"/>
        <w:jc w:val="both"/>
      </w:pPr>
      <w:r>
        <w:rPr>
          <w:rFonts w:ascii="Calibri" w:cs="Calibri" w:eastAsia="Calibri" w:hAnsi="Calibri"/>
          <w:color w:val="28251D"/>
          <w:sz w:val="20"/>
          <w:szCs w:val="20"/>
        </w:rPr>
        <w:t xml:space="preserve">The single most important requirement that remains unaddressed by both the prior codebase and the new Prompt Factory design is: HIPAA two-tier consent trigger (audit Finding 1, item 1 of the six bypassed capabilities — every 5th /chat message).</w:t>
      </w:r>
    </w:p>
    <w:p>
      <w:pPr>
        <w:spacing w:after="100"/>
        <w:jc w:val="both"/>
      </w:pPr>
      <w:r>
        <w:rPr>
          <w:rFonts w:ascii="Calibri" w:cs="Calibri" w:eastAsia="Calibri" w:hAnsi="Calibri"/>
          <w:color w:val="28251D"/>
          <w:sz w:val="20"/>
          <w:szCs w:val="20"/>
        </w:rPr>
        <w:t xml:space="preserve">This requirement is not shown anywhere in the Prompt Factory diagram. It is not a routing concern, not a tool call, and not a schema concern — it is a stateful counter that must fire on a per-session cadence regardless of which epic's child facade handles the request. In the factory architecture, there is no obvious home for this: it is not owned by FC-SEARCH, not by clinical trials, not by caregiver lookup. It must be implemented as a cross-cutting concern at the factory base class level, with the counter maintained in session state and checked before any child facade dispatches. Until a story is filed that explicitly places the HIPAA consent trigger in the factory base class with a defined session-counter contract, this requirement has no owner and no implementation path in the new architecture.</w:t>
      </w:r>
    </w:p>
    <w:p>
      <w:pPr>
        <w:spacing w:after="80"/>
      </w:pPr>
      <w:r>
        <w:t xml:space="preserve"/>
      </w:r>
    </w:p>
    <w:p>
      <w:pPr>
        <w:pStyle w:val="Heading1"/>
        <w:pBdr>
          <w:bottom w:val="single" w:color="01696F" w:sz="6"/>
        </w:pBdr>
        <w:spacing w:after="120" w:before="360"/>
        <w:rPr>
          <w:rFonts w:ascii="Calibri" w:cs="Calibri" w:eastAsia="Calibri" w:hAnsi="Calibri"/>
          <w:b/>
          <w:bCs/>
          <w:color w:val="1B474D"/>
        </w:rPr>
      </w:pPr>
      <w:r>
        <w:t xml:space="preserve">6. Recommendations: Facade-per-Epic Pattern</w:t>
      </w:r>
    </w:p>
    <w:p>
      <w:pPr>
        <w:spacing w:after="100"/>
        <w:jc w:val="both"/>
      </w:pPr>
      <w:r>
        <w:rPr>
          <w:rFonts w:ascii="Calibri" w:cs="Calibri" w:eastAsia="Calibri" w:hAnsi="Calibri"/>
          <w:color w:val="28251D"/>
          <w:sz w:val="20"/>
          <w:szCs w:val="20"/>
        </w:rPr>
        <w:t xml:space="preserve">Based on the three-way synthesis, the following implementation structure is recommended to avoid the bottleneck risk while realizing the full benefit of the Prompt Factory design:</w:t>
      </w:r>
    </w:p>
    <w:p>
      <w:pPr>
        <w:spacing w:after="60" w:before="200"/>
      </w:pPr>
      <w:r>
        <w:rPr>
          <w:rFonts w:ascii="Calibri" w:cs="Calibri" w:eastAsia="Calibri" w:hAnsi="Calibri"/>
          <w:b/>
          <w:bCs/>
          <w:color w:val="01696F"/>
          <w:sz w:val="22"/>
          <w:szCs w:val="22"/>
        </w:rPr>
        <w:t xml:space="preserve">Base Class: PromptFactory</w:t>
      </w:r>
    </w:p>
    <w:p>
      <w:pPr>
        <w:pStyle w:val="ListParagraph"/>
        <w:numPr>
          <w:ilvl w:val="0"/>
          <w:numId w:val="1"/>
        </w:numPr>
        <w:spacing w:after="80"/>
      </w:pPr>
      <w:r>
        <w:rPr>
          <w:rFonts w:ascii="Calibri" w:cs="Calibri" w:eastAsia="Calibri" w:hAnsi="Calibri"/>
          <w:color w:val="28251D"/>
          <w:sz w:val="20"/>
          <w:szCs w:val="20"/>
        </w:rPr>
        <w:t xml:space="preserve">Owns structured input assembly: prompt history (user + machine), user context</w:t>
      </w:r>
    </w:p>
    <w:p>
      <w:pPr>
        <w:pStyle w:val="ListParagraph"/>
        <w:numPr>
          <w:ilvl w:val="0"/>
          <w:numId w:val="1"/>
        </w:numPr>
        <w:spacing w:after="80"/>
      </w:pPr>
      <w:r>
        <w:rPr>
          <w:rFonts w:ascii="Calibri" w:cs="Calibri" w:eastAsia="Calibri" w:hAnsi="Calibri"/>
          <w:color w:val="28251D"/>
          <w:sz w:val="20"/>
          <w:szCs w:val="20"/>
        </w:rPr>
        <w:t xml:space="preserve">Owns deterministic rule evaluation (the rule set shown in the diagram)</w:t>
      </w:r>
    </w:p>
    <w:p>
      <w:pPr>
        <w:pStyle w:val="ListParagraph"/>
        <w:numPr>
          <w:ilvl w:val="0"/>
          <w:numId w:val="1"/>
        </w:numPr>
        <w:spacing w:after="80"/>
      </w:pPr>
      <w:r>
        <w:rPr>
          <w:rFonts w:ascii="Calibri" w:cs="Calibri" w:eastAsia="Calibri" w:hAnsi="Calibri"/>
          <w:color w:val="28251D"/>
          <w:sz w:val="20"/>
          <w:szCs w:val="20"/>
        </w:rPr>
        <w:t xml:space="preserve">Owns session state: HIPAA consent counter, session lock state, emergency lock state</w:t>
      </w:r>
    </w:p>
    <w:p>
      <w:pPr>
        <w:pStyle w:val="ListParagraph"/>
        <w:numPr>
          <w:ilvl w:val="0"/>
          <w:numId w:val="1"/>
        </w:numPr>
        <w:spacing w:after="80"/>
      </w:pPr>
      <w:r>
        <w:rPr>
          <w:rFonts w:ascii="Calibri" w:cs="Calibri" w:eastAsia="Calibri" w:hAnsi="Calibri"/>
          <w:color w:val="28251D"/>
          <w:sz w:val="20"/>
          <w:szCs w:val="20"/>
        </w:rPr>
        <w:t xml:space="preserve">Owns output schema serialization and URL Guardian validation pass</w:t>
      </w:r>
    </w:p>
    <w:p>
      <w:pPr>
        <w:pStyle w:val="ListParagraph"/>
        <w:numPr>
          <w:ilvl w:val="0"/>
          <w:numId w:val="1"/>
        </w:numPr>
        <w:spacing w:after="80"/>
      </w:pPr>
      <w:r>
        <w:rPr>
          <w:rFonts w:ascii="Calibri" w:cs="Calibri" w:eastAsia="Calibri" w:hAnsi="Calibri"/>
          <w:color w:val="28251D"/>
          <w:sz w:val="20"/>
          <w:szCs w:val="20"/>
        </w:rPr>
        <w:t xml:space="preserve">Dispatches to child facades via a registry — never calls child methods directly</w:t>
      </w:r>
    </w:p>
    <w:p>
      <w:pPr>
        <w:pStyle w:val="ListParagraph"/>
        <w:numPr>
          <w:ilvl w:val="0"/>
          <w:numId w:val="1"/>
        </w:numPr>
        <w:spacing w:after="80"/>
      </w:pPr>
      <w:r>
        <w:rPr>
          <w:rFonts w:ascii="Calibri" w:cs="Calibri" w:eastAsia="Calibri" w:hAnsi="Calibri"/>
          <w:color w:val="28251D"/>
          <w:sz w:val="20"/>
          <w:szCs w:val="20"/>
        </w:rPr>
        <w:t xml:space="preserve">Must be stateless between requests except for the session object passed in</w:t>
      </w:r>
    </w:p>
    <w:p>
      <w:pPr>
        <w:spacing w:after="60" w:before="200"/>
      </w:pPr>
      <w:r>
        <w:rPr>
          <w:rFonts w:ascii="Calibri" w:cs="Calibri" w:eastAsia="Calibri" w:hAnsi="Calibri"/>
          <w:b/>
          <w:bCs/>
          <w:color w:val="01696F"/>
          <w:sz w:val="22"/>
          <w:szCs w:val="22"/>
        </w:rPr>
        <w:t xml:space="preserve">Child Facade per Epic (one class each)</w:t>
      </w:r>
    </w:p>
    <w:p>
      <w:pPr>
        <w:pStyle w:val="ListParagraph"/>
        <w:numPr>
          <w:ilvl w:val="1"/>
          <w:numId w:val="1"/>
        </w:numPr>
        <w:spacing w:after="60"/>
      </w:pPr>
      <w:r>
        <w:rPr>
          <w:rFonts w:ascii="Calibri" w:cs="Calibri" w:eastAsia="Calibri" w:hAnsi="Calibri"/>
          <w:color w:val="7A7974"/>
          <w:sz w:val="20"/>
          <w:szCs w:val="20"/>
        </w:rPr>
        <w:t xml:space="preserve">FindCareSearchFacade — FC-SEARCH epic. Owns vector search, specialty ranker, provider card assembly.</w:t>
      </w:r>
    </w:p>
    <w:p>
      <w:pPr>
        <w:pStyle w:val="ListParagraph"/>
        <w:numPr>
          <w:ilvl w:val="1"/>
          <w:numId w:val="1"/>
        </w:numPr>
        <w:spacing w:after="60"/>
      </w:pPr>
      <w:r>
        <w:rPr>
          <w:rFonts w:ascii="Calibri" w:cs="Calibri" w:eastAsia="Calibri" w:hAnsi="Calibri"/>
          <w:color w:val="7A7974"/>
          <w:sz w:val="20"/>
          <w:szCs w:val="20"/>
        </w:rPr>
        <w:t xml:space="preserve">CaregiverFacade — Caregiver tool epic. Owns caregiver lookup, deterministic result.</w:t>
      </w:r>
    </w:p>
    <w:p>
      <w:pPr>
        <w:pStyle w:val="ListParagraph"/>
        <w:numPr>
          <w:ilvl w:val="1"/>
          <w:numId w:val="1"/>
        </w:numPr>
        <w:spacing w:after="60"/>
      </w:pPr>
      <w:r>
        <w:rPr>
          <w:rFonts w:ascii="Calibri" w:cs="Calibri" w:eastAsia="Calibri" w:hAnsi="Calibri"/>
          <w:color w:val="7A7974"/>
          <w:sz w:val="20"/>
          <w:szCs w:val="20"/>
        </w:rPr>
        <w:t xml:space="preserve">ClinicalTrialFacade — Clinical trial search + scoring epics (EVAL-SCORE-CT, EVAL-CT-MEASUREs).</w:t>
      </w:r>
    </w:p>
    <w:p>
      <w:pPr>
        <w:pStyle w:val="ListParagraph"/>
        <w:numPr>
          <w:ilvl w:val="1"/>
          <w:numId w:val="1"/>
        </w:numPr>
        <w:spacing w:after="60"/>
      </w:pPr>
      <w:r>
        <w:rPr>
          <w:rFonts w:ascii="Calibri" w:cs="Calibri" w:eastAsia="Calibri" w:hAnsi="Calibri"/>
          <w:color w:val="7A7974"/>
          <w:sz w:val="20"/>
          <w:szCs w:val="20"/>
        </w:rPr>
        <w:t xml:space="preserve">FacilityFacade — Facility choices, deterministic result.</w:t>
      </w:r>
    </w:p>
    <w:p>
      <w:pPr>
        <w:pStyle w:val="ListParagraph"/>
        <w:numPr>
          <w:ilvl w:val="1"/>
          <w:numId w:val="1"/>
        </w:numPr>
        <w:spacing w:after="60"/>
      </w:pPr>
      <w:r>
        <w:rPr>
          <w:rFonts w:ascii="Calibri" w:cs="Calibri" w:eastAsia="Calibri" w:hAnsi="Calibri"/>
          <w:color w:val="7A7974"/>
          <w:sz w:val="20"/>
          <w:szCs w:val="20"/>
        </w:rPr>
        <w:t xml:space="preserve">EvaluateCareFacade — EPIC-001 (all scoring, normalization, confidence, failsafe, cache).</w:t>
      </w:r>
    </w:p>
    <w:p>
      <w:pPr>
        <w:pStyle w:val="ListParagraph"/>
        <w:numPr>
          <w:ilvl w:val="1"/>
          <w:numId w:val="1"/>
        </w:numPr>
        <w:spacing w:after="60"/>
      </w:pPr>
      <w:r>
        <w:rPr>
          <w:rFonts w:ascii="Calibri" w:cs="Calibri" w:eastAsia="Calibri" w:hAnsi="Calibri"/>
          <w:color w:val="7A7974"/>
          <w:sz w:val="20"/>
          <w:szCs w:val="20"/>
        </w:rPr>
        <w:t xml:space="preserve">NarrativeFacade — LLM narrative response, ReactMarkdown-renderable output, About ChatHealthy context.</w:t>
      </w:r>
    </w:p>
    <w:p>
      <w:pPr>
        <w:pStyle w:val="ListParagraph"/>
        <w:numPr>
          <w:ilvl w:val="1"/>
          <w:numId w:val="1"/>
        </w:numPr>
        <w:spacing w:after="60"/>
      </w:pPr>
      <w:r>
        <w:rPr>
          <w:rFonts w:ascii="Calibri" w:cs="Calibri" w:eastAsia="Calibri" w:hAnsi="Calibri"/>
          <w:color w:val="7A7974"/>
          <w:sz w:val="20"/>
          <w:szCs w:val="20"/>
        </w:rPr>
        <w:t xml:space="preserve">SafetyFacade — EPIC-004. Safety lockout, emergency lock, admin unlock — consulted by base class before dispatch.</w:t>
      </w:r>
    </w:p>
    <w:p>
      <w:pPr>
        <w:pStyle w:val="ListParagraph"/>
        <w:numPr>
          <w:ilvl w:val="1"/>
          <w:numId w:val="1"/>
        </w:numPr>
        <w:spacing w:after="60"/>
      </w:pPr>
      <w:r>
        <w:rPr>
          <w:rFonts w:ascii="Calibri" w:cs="Calibri" w:eastAsia="Calibri" w:hAnsi="Calibri"/>
          <w:color w:val="7A7974"/>
          <w:sz w:val="20"/>
          <w:szCs w:val="20"/>
        </w:rPr>
        <w:t xml:space="preserve">ComplianceFacade — UMLS CPT filtering, NLM attribution, geo-fence. Post-output filter called by base class after any child returns.</w:t>
      </w:r>
    </w:p>
    <w:p>
      <w:pPr>
        <w:pStyle w:val="ListParagraph"/>
        <w:numPr>
          <w:ilvl w:val="1"/>
          <w:numId w:val="1"/>
        </w:numPr>
        <w:spacing w:after="60"/>
      </w:pPr>
      <w:r>
        <w:rPr>
          <w:rFonts w:ascii="Calibri" w:cs="Calibri" w:eastAsia="Calibri" w:hAnsi="Calibri"/>
          <w:color w:val="7A7974"/>
          <w:sz w:val="20"/>
          <w:szCs w:val="20"/>
        </w:rPr>
        <w:t xml:space="preserve">SecurityFacade — mTLS session token validation, bearer token fallback. Called by base class at input boundary.</w:t>
      </w:r>
    </w:p>
    <w:p>
      <w:pPr>
        <w:spacing w:after="60" w:before="200"/>
      </w:pPr>
      <w:r>
        <w:rPr>
          <w:rFonts w:ascii="Calibri" w:cs="Calibri" w:eastAsia="Calibri" w:hAnsi="Calibri"/>
          <w:b/>
          <w:bCs/>
          <w:color w:val="01696F"/>
          <w:sz w:val="22"/>
          <w:szCs w:val="22"/>
        </w:rPr>
        <w:t xml:space="preserve">Governance Rule (ARCH-GOV)</w:t>
      </w:r>
    </w:p>
    <w:p>
      <w:pPr>
        <w:pStyle w:val="ListParagraph"/>
        <w:numPr>
          <w:ilvl w:val="0"/>
          <w:numId w:val="1"/>
        </w:numPr>
        <w:spacing w:after="80"/>
      </w:pPr>
      <w:r>
        <w:rPr>
          <w:rFonts w:ascii="Calibri" w:cs="Calibri" w:eastAsia="Calibri" w:hAnsi="Calibri"/>
          <w:color w:val="28251D"/>
          <w:sz w:val="20"/>
          <w:szCs w:val="20"/>
        </w:rPr>
        <w:t xml:space="preserve">No child facade may reference another child facade's class or methods directly.</w:t>
      </w:r>
    </w:p>
    <w:p>
      <w:pPr>
        <w:pStyle w:val="ListParagraph"/>
        <w:numPr>
          <w:ilvl w:val="0"/>
          <w:numId w:val="1"/>
        </w:numPr>
        <w:spacing w:after="80"/>
      </w:pPr>
      <w:r>
        <w:rPr>
          <w:rFonts w:ascii="Calibri" w:cs="Calibri" w:eastAsia="Calibri" w:hAnsi="Calibri"/>
          <w:color w:val="28251D"/>
          <w:sz w:val="20"/>
          <w:szCs w:val="20"/>
        </w:rPr>
        <w:t xml:space="preserve">All cross-cutting concerns (HIPAA counter, URL Guardian, compliance filter, security check) live in the base class only.</w:t>
      </w:r>
    </w:p>
    <w:p>
      <w:pPr>
        <w:pStyle w:val="ListParagraph"/>
        <w:numPr>
          <w:ilvl w:val="0"/>
          <w:numId w:val="1"/>
        </w:numPr>
        <w:spacing w:after="80"/>
      </w:pPr>
      <w:r>
        <w:rPr>
          <w:rFonts w:ascii="Calibri" w:cs="Calibri" w:eastAsia="Calibri" w:hAnsi="Calibri"/>
          <w:color w:val="28251D"/>
          <w:sz w:val="20"/>
          <w:szCs w:val="20"/>
        </w:rPr>
        <w:t xml:space="preserve">Each child facade must expose a single dispatch(structured_input) → structured_output method.</w:t>
      </w:r>
    </w:p>
    <w:p>
      <w:pPr>
        <w:pStyle w:val="ListParagraph"/>
        <w:numPr>
          <w:ilvl w:val="0"/>
          <w:numId w:val="1"/>
        </w:numPr>
        <w:spacing w:after="80"/>
      </w:pPr>
      <w:r>
        <w:rPr>
          <w:rFonts w:ascii="Calibri" w:cs="Calibri" w:eastAsia="Calibri" w:hAnsi="Calibri"/>
          <w:color w:val="28251D"/>
          <w:sz w:val="20"/>
          <w:szCs w:val="20"/>
        </w:rPr>
        <w:t xml:space="preserve">SchemaDriftDetector must be extended to validate factory output schemas on each CI run.</w:t>
      </w:r>
    </w:p>
    <w:p>
      <w:pPr>
        <w:spacing w:after="80"/>
      </w:pPr>
      <w:r>
        <w:t xml:space="preserve"/>
      </w:r>
    </w:p>
    <w:p>
      <w:pPr>
        <w:pStyle w:val="Heading1"/>
        <w:pBdr>
          <w:bottom w:val="single" w:color="01696F" w:sz="6"/>
        </w:pBdr>
        <w:spacing w:after="120" w:before="360"/>
        <w:rPr>
          <w:rFonts w:ascii="Calibri" w:cs="Calibri" w:eastAsia="Calibri" w:hAnsi="Calibri"/>
          <w:b/>
          <w:bCs/>
          <w:color w:val="1B474D"/>
        </w:rPr>
      </w:pPr>
      <w:r>
        <w:t xml:space="preserve">7. Requirements Appendix</w:t>
      </w:r>
    </w:p>
    <w:p>
      <w:pPr>
        <w:spacing w:after="100"/>
        <w:jc w:val="both"/>
      </w:pPr>
      <w:r>
        <w:rPr>
          <w:rFonts w:ascii="Calibri" w:cs="Calibri" w:eastAsia="Calibri" w:hAnsi="Calibri"/>
          <w:color w:val="28251D"/>
          <w:sz w:val="20"/>
          <w:szCs w:val="20"/>
        </w:rPr>
        <w:t xml:space="preserve">The table below lists the most important requirement IDs from the Claude audit and agile_backlog.json, their prior closure state, the impact of the Prompt Factory design, and their current closure state as of this audit edition.</w:t>
      </w:r>
    </w:p>
    <w:p>
      <w:pPr>
        <w:spacing w:after="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gridCol w:w="100"/>
        <w:gridCol w:w="100"/>
        <w:gridCol w:w="100"/>
        <w:gridCol w:w="100"/>
      </w:tblGrid>
      <w:tr>
        <w:trPr>
          <w:tblHeader/>
        </w:trPr>
        <w:tc>
          <w:tcPr>
            <w:shd w:fill="1B474D" w:val="solid"/>
            <w:tcMar>
              <w:top w:type="dxa" w:w="80"/>
              <w:left w:type="dxa" w:w="100"/>
              <w:bottom w:type="dxa" w:w="80"/>
              <w:right w:type="dxa" w:w="100"/>
            </w:tcMar>
          </w:tcPr>
          <w:p>
            <w:pPr>
              <w:jc w:val="center"/>
            </w:pPr>
            <w:r>
              <w:rPr>
                <w:rFonts w:ascii="Calibri" w:cs="Calibri" w:eastAsia="Calibri" w:hAnsi="Calibri"/>
                <w:b/>
                <w:bCs/>
                <w:color w:val="FFFFFF"/>
                <w:sz w:val="18"/>
                <w:szCs w:val="18"/>
              </w:rPr>
              <w:t xml:space="preserve">Requirement ID</w:t>
            </w:r>
          </w:p>
        </w:tc>
        <w:tc>
          <w:tcPr>
            <w:shd w:fill="1B474D" w:val="solid"/>
            <w:tcMar>
              <w:top w:type="dxa" w:w="80"/>
              <w:left w:type="dxa" w:w="100"/>
              <w:bottom w:type="dxa" w:w="80"/>
              <w:right w:type="dxa" w:w="100"/>
            </w:tcMar>
          </w:tcPr>
          <w:p>
            <w:pPr>
              <w:jc w:val="center"/>
            </w:pPr>
            <w:r>
              <w:rPr>
                <w:rFonts w:ascii="Calibri" w:cs="Calibri" w:eastAsia="Calibri" w:hAnsi="Calibri"/>
                <w:b/>
                <w:bCs/>
                <w:color w:val="FFFFFF"/>
                <w:sz w:val="18"/>
                <w:szCs w:val="18"/>
              </w:rPr>
              <w:t xml:space="preserve">Description</w:t>
            </w:r>
          </w:p>
        </w:tc>
        <w:tc>
          <w:tcPr>
            <w:shd w:fill="1B474D" w:val="solid"/>
            <w:tcMar>
              <w:top w:type="dxa" w:w="80"/>
              <w:left w:type="dxa" w:w="100"/>
              <w:bottom w:type="dxa" w:w="80"/>
              <w:right w:type="dxa" w:w="100"/>
            </w:tcMar>
          </w:tcPr>
          <w:p>
            <w:pPr>
              <w:jc w:val="center"/>
            </w:pPr>
            <w:r>
              <w:rPr>
                <w:rFonts w:ascii="Calibri" w:cs="Calibri" w:eastAsia="Calibri" w:hAnsi="Calibri"/>
                <w:b/>
                <w:bCs/>
                <w:color w:val="FFFFFF"/>
                <w:sz w:val="18"/>
                <w:szCs w:val="18"/>
              </w:rPr>
              <w:t xml:space="preserve">Prior Status</w:t>
            </w:r>
          </w:p>
        </w:tc>
        <w:tc>
          <w:tcPr>
            <w:shd w:fill="1B474D" w:val="solid"/>
            <w:tcMar>
              <w:top w:type="dxa" w:w="80"/>
              <w:left w:type="dxa" w:w="100"/>
              <w:bottom w:type="dxa" w:w="80"/>
              <w:right w:type="dxa" w:w="100"/>
            </w:tcMar>
          </w:tcPr>
          <w:p>
            <w:pPr>
              <w:jc w:val="center"/>
            </w:pPr>
            <w:r>
              <w:rPr>
                <w:rFonts w:ascii="Calibri" w:cs="Calibri" w:eastAsia="Calibri" w:hAnsi="Calibri"/>
                <w:b/>
                <w:bCs/>
                <w:color w:val="FFFFFF"/>
                <w:sz w:val="18"/>
                <w:szCs w:val="18"/>
              </w:rPr>
              <w:t xml:space="preserve">Prompt Factory Impact</w:t>
            </w:r>
          </w:p>
        </w:tc>
        <w:tc>
          <w:tcPr>
            <w:shd w:fill="1B474D" w:val="solid"/>
            <w:tcMar>
              <w:top w:type="dxa" w:w="80"/>
              <w:left w:type="dxa" w:w="100"/>
              <w:bottom w:type="dxa" w:w="80"/>
              <w:right w:type="dxa" w:w="100"/>
            </w:tcMar>
          </w:tcPr>
          <w:p>
            <w:pPr>
              <w:jc w:val="center"/>
            </w:pPr>
            <w:r>
              <w:rPr>
                <w:rFonts w:ascii="Calibri" w:cs="Calibri" w:eastAsia="Calibri" w:hAnsi="Calibri"/>
                <w:b/>
                <w:bCs/>
                <w:color w:val="FFFFFF"/>
                <w:sz w:val="18"/>
                <w:szCs w:val="18"/>
              </w:rPr>
              <w:t xml:space="preserve">Closure State</w:t>
            </w:r>
          </w:p>
        </w:tc>
      </w:tr>
      <w:tr>
        <w:tc>
          <w:tcPr>
            <w:shd w:fill="FFFFFF" w:val="solid"/>
            <w:tcMar>
              <w:top w:type="dxa" w:w="60"/>
              <w:left w:type="dxa" w:w="100"/>
              <w:bottom w:type="dxa" w:w="60"/>
              <w:right w:type="dxa" w:w="100"/>
            </w:tcMar>
          </w:tcPr>
          <w:p>
            <w:pPr>
              <w:jc w:val="left"/>
            </w:pPr>
            <w:r>
              <w:rPr>
                <w:rFonts w:ascii="Calibri" w:cs="Calibri" w:eastAsia="Calibri" w:hAnsi="Calibri"/>
                <w:color w:val="1B474D"/>
                <w:sz w:val="18"/>
                <w:szCs w:val="18"/>
              </w:rPr>
              <w:t xml:space="preserve">Finding 1 / ASN-12058C</w:t>
            </w:r>
          </w:p>
        </w:tc>
        <w:tc>
          <w:tcPr>
            <w:shd w:fill="FFFFFF" w:val="solid"/>
            <w:tcMar>
              <w:top w:type="dxa" w:w="60"/>
              <w:left w:type="dxa" w:w="100"/>
              <w:bottom w:type="dxa" w:w="60"/>
              <w:right w:type="dxa" w:w="100"/>
            </w:tcMar>
          </w:tcPr>
          <w:p>
            <w:pPr>
              <w:jc w:val="left"/>
            </w:pPr>
            <w:r>
              <w:rPr>
                <w:rFonts w:ascii="Calibri" w:cs="Calibri" w:eastAsia="Calibri" w:hAnsi="Calibri"/>
                <w:color w:val="28251D"/>
                <w:sz w:val="18"/>
                <w:szCs w:val="18"/>
              </w:rPr>
              <w:t xml:space="preserve">FindCareApp bypasses /chat — 6 capabilities unreachable</w:t>
            </w:r>
          </w:p>
        </w:tc>
        <w:tc>
          <w:tcPr>
            <w:shd w:fill="FFFFFF" w:val="solid"/>
            <w:tcMar>
              <w:top w:type="dxa" w:w="60"/>
              <w:left w:type="dxa" w:w="100"/>
              <w:bottom w:type="dxa" w:w="60"/>
              <w:right w:type="dxa" w:w="100"/>
            </w:tcMar>
          </w:tcPr>
          <w:p>
            <w:pPr>
              <w:jc w:val="left"/>
            </w:pPr>
            <w:r>
              <w:rPr>
                <w:rFonts w:ascii="Calibri" w:cs="Calibri" w:eastAsia="Calibri" w:hAnsi="Calibri"/>
                <w:color w:val="964219"/>
                <w:sz w:val="18"/>
                <w:szCs w:val="18"/>
              </w:rPr>
              <w:t xml:space="preserve">OPEN CRITICAL</w:t>
            </w:r>
          </w:p>
        </w:tc>
        <w:tc>
          <w:tcPr>
            <w:shd w:fill="FFFFFF" w:val="solid"/>
            <w:tcMar>
              <w:top w:type="dxa" w:w="60"/>
              <w:left w:type="dxa" w:w="100"/>
              <w:bottom w:type="dxa" w:w="60"/>
              <w:right w:type="dxa" w:w="100"/>
            </w:tcMar>
          </w:tcPr>
          <w:p>
            <w:pPr>
              <w:jc w:val="left"/>
            </w:pPr>
            <w:r>
              <w:rPr>
                <w:rFonts w:ascii="Calibri" w:cs="Calibri" w:eastAsia="Calibri" w:hAnsi="Calibri"/>
                <w:color w:val="28251D"/>
                <w:sz w:val="18"/>
                <w:szCs w:val="18"/>
              </w:rPr>
              <w:t xml:space="preserve">Factory is the single entry point; bypass path eliminated by design</w:t>
            </w:r>
          </w:p>
        </w:tc>
        <w:tc>
          <w:tcPr>
            <w:shd w:fill="FFFFFF" w:val="solid"/>
            <w:tcMar>
              <w:top w:type="dxa" w:w="60"/>
              <w:left w:type="dxa" w:w="100"/>
              <w:bottom w:type="dxa" w:w="60"/>
              <w:right w:type="dxa" w:w="100"/>
            </w:tcMar>
          </w:tcPr>
          <w:p>
            <w:pPr>
              <w:jc w:val="left"/>
            </w:pPr>
            <w:r>
              <w:rPr>
                <w:rFonts w:ascii="Calibri" w:cs="Calibri" w:eastAsia="Calibri" w:hAnsi="Calibri"/>
                <w:color w:val="437A22"/>
                <w:sz w:val="18"/>
                <w:szCs w:val="18"/>
              </w:rPr>
              <w:t xml:space="preserve">Design-resolved, impl pending</w:t>
            </w:r>
          </w:p>
        </w:tc>
      </w:tr>
      <w:tr>
        <w:tc>
          <w:tcPr>
            <w:shd w:fill="FFFFFF" w:val="solid"/>
            <w:tcMar>
              <w:top w:type="dxa" w:w="60"/>
              <w:left w:type="dxa" w:w="100"/>
              <w:bottom w:type="dxa" w:w="60"/>
              <w:right w:type="dxa" w:w="100"/>
            </w:tcMar>
          </w:tcPr>
          <w:p>
            <w:pPr>
              <w:jc w:val="left"/>
            </w:pPr>
            <w:r>
              <w:rPr>
                <w:rFonts w:ascii="Calibri" w:cs="Calibri" w:eastAsia="Calibri" w:hAnsi="Calibri"/>
                <w:color w:val="1B474D"/>
                <w:sz w:val="18"/>
                <w:szCs w:val="18"/>
              </w:rPr>
              <w:t xml:space="preserve">Finding 2 / ASN-3C7F91</w:t>
            </w:r>
          </w:p>
        </w:tc>
        <w:tc>
          <w:tcPr>
            <w:shd w:fill="FFFFFF" w:val="solid"/>
            <w:tcMar>
              <w:top w:type="dxa" w:w="60"/>
              <w:left w:type="dxa" w:w="100"/>
              <w:bottom w:type="dxa" w:w="60"/>
              <w:right w:type="dxa" w:w="100"/>
            </w:tcMar>
          </w:tcPr>
          <w:p>
            <w:pPr>
              <w:jc w:val="left"/>
            </w:pPr>
            <w:r>
              <w:rPr>
                <w:rFonts w:ascii="Calibri" w:cs="Calibri" w:eastAsia="Calibri" w:hAnsi="Calibri"/>
                <w:color w:val="28251D"/>
                <w:sz w:val="18"/>
                <w:szCs w:val="18"/>
              </w:rPr>
              <w:t xml:space="preserve">Context carry-forward regression — stateless classify calls</w:t>
            </w:r>
          </w:p>
        </w:tc>
        <w:tc>
          <w:tcPr>
            <w:shd w:fill="FFFFFF" w:val="solid"/>
            <w:tcMar>
              <w:top w:type="dxa" w:w="60"/>
              <w:left w:type="dxa" w:w="100"/>
              <w:bottom w:type="dxa" w:w="60"/>
              <w:right w:type="dxa" w:w="100"/>
            </w:tcMar>
          </w:tcPr>
          <w:p>
            <w:pPr>
              <w:jc w:val="left"/>
            </w:pPr>
            <w:r>
              <w:rPr>
                <w:rFonts w:ascii="Calibri" w:cs="Calibri" w:eastAsia="Calibri" w:hAnsi="Calibri"/>
                <w:color w:val="964219"/>
                <w:sz w:val="18"/>
                <w:szCs w:val="18"/>
              </w:rPr>
              <w:t xml:space="preserve">OPEN CRITICAL</w:t>
            </w:r>
          </w:p>
        </w:tc>
        <w:tc>
          <w:tcPr>
            <w:shd w:fill="FFFFFF" w:val="solid"/>
            <w:tcMar>
              <w:top w:type="dxa" w:w="60"/>
              <w:left w:type="dxa" w:w="100"/>
              <w:bottom w:type="dxa" w:w="60"/>
              <w:right w:type="dxa" w:w="100"/>
            </w:tcMar>
          </w:tcPr>
          <w:p>
            <w:pPr>
              <w:jc w:val="left"/>
            </w:pPr>
            <w:r>
              <w:rPr>
                <w:rFonts w:ascii="Calibri" w:cs="Calibri" w:eastAsia="Calibri" w:hAnsi="Calibri"/>
                <w:color w:val="28251D"/>
                <w:sz w:val="18"/>
                <w:szCs w:val="18"/>
              </w:rPr>
              <w:t xml:space="preserve">Factory input carries full prompt history; context is manufactured in</w:t>
            </w:r>
          </w:p>
        </w:tc>
        <w:tc>
          <w:tcPr>
            <w:shd w:fill="FFFFFF" w:val="solid"/>
            <w:tcMar>
              <w:top w:type="dxa" w:w="60"/>
              <w:left w:type="dxa" w:w="100"/>
              <w:bottom w:type="dxa" w:w="60"/>
              <w:right w:type="dxa" w:w="100"/>
            </w:tcMar>
          </w:tcPr>
          <w:p>
            <w:pPr>
              <w:jc w:val="left"/>
            </w:pPr>
            <w:r>
              <w:rPr>
                <w:rFonts w:ascii="Calibri" w:cs="Calibri" w:eastAsia="Calibri" w:hAnsi="Calibri"/>
                <w:color w:val="437A22"/>
                <w:sz w:val="18"/>
                <w:szCs w:val="18"/>
              </w:rPr>
              <w:t xml:space="preserve">Design-resolved, impl pending</w:t>
            </w:r>
          </w:p>
        </w:tc>
      </w:tr>
      <w:tr>
        <w:tc>
          <w:tcPr>
            <w:shd w:fill="FFFFFF" w:val="solid"/>
            <w:tcMar>
              <w:top w:type="dxa" w:w="60"/>
              <w:left w:type="dxa" w:w="100"/>
              <w:bottom w:type="dxa" w:w="60"/>
              <w:right w:type="dxa" w:w="100"/>
            </w:tcMar>
          </w:tcPr>
          <w:p>
            <w:pPr>
              <w:jc w:val="left"/>
            </w:pPr>
            <w:r>
              <w:rPr>
                <w:rFonts w:ascii="Calibri" w:cs="Calibri" w:eastAsia="Calibri" w:hAnsi="Calibri"/>
                <w:color w:val="1B474D"/>
                <w:sz w:val="18"/>
                <w:szCs w:val="18"/>
              </w:rPr>
              <w:t xml:space="preserve">Finding 3 / BUG-LEGAL-001</w:t>
            </w:r>
          </w:p>
        </w:tc>
        <w:tc>
          <w:tcPr>
            <w:shd w:fill="FFFFFF" w:val="solid"/>
            <w:tcMar>
              <w:top w:type="dxa" w:w="60"/>
              <w:left w:type="dxa" w:w="100"/>
              <w:bottom w:type="dxa" w:w="60"/>
              <w:right w:type="dxa" w:w="100"/>
            </w:tcMar>
          </w:tcPr>
          <w:p>
            <w:pPr>
              <w:jc w:val="left"/>
            </w:pPr>
            <w:r>
              <w:rPr>
                <w:rFonts w:ascii="Calibri" w:cs="Calibri" w:eastAsia="Calibri" w:hAnsi="Calibri"/>
                <w:color w:val="28251D"/>
                <w:sz w:val="18"/>
                <w:szCs w:val="18"/>
              </w:rPr>
              <w:t xml:space="preserve">UMLS CPT code compliance — consumer-facing output</w:t>
            </w:r>
          </w:p>
        </w:tc>
        <w:tc>
          <w:tcPr>
            <w:shd w:fill="FFFFFF" w:val="solid"/>
            <w:tcMar>
              <w:top w:type="dxa" w:w="60"/>
              <w:left w:type="dxa" w:w="100"/>
              <w:bottom w:type="dxa" w:w="60"/>
              <w:right w:type="dxa" w:w="100"/>
            </w:tcMar>
          </w:tcPr>
          <w:p>
            <w:pPr>
              <w:jc w:val="left"/>
            </w:pPr>
            <w:r>
              <w:rPr>
                <w:rFonts w:ascii="Calibri" w:cs="Calibri" w:eastAsia="Calibri" w:hAnsi="Calibri"/>
                <w:color w:val="964219"/>
                <w:sz w:val="18"/>
                <w:szCs w:val="18"/>
              </w:rPr>
              <w:t xml:space="preserve">OPEN HIGH (pre-launch)</w:t>
            </w:r>
          </w:p>
        </w:tc>
        <w:tc>
          <w:tcPr>
            <w:shd w:fill="FFFFFF" w:val="solid"/>
            <w:tcMar>
              <w:top w:type="dxa" w:w="60"/>
              <w:left w:type="dxa" w:w="100"/>
              <w:bottom w:type="dxa" w:w="60"/>
              <w:right w:type="dxa" w:w="100"/>
            </w:tcMar>
          </w:tcPr>
          <w:p>
            <w:pPr>
              <w:jc w:val="left"/>
            </w:pPr>
            <w:r>
              <w:rPr>
                <w:rFonts w:ascii="Calibri" w:cs="Calibri" w:eastAsia="Calibri" w:hAnsi="Calibri"/>
                <w:color w:val="28251D"/>
                <w:sz w:val="18"/>
                <w:szCs w:val="18"/>
              </w:rPr>
              <w:t xml:space="preserve">Not addressed by factory. Compliance facade recommended as post-filter</w:t>
            </w:r>
          </w:p>
        </w:tc>
        <w:tc>
          <w:tcPr>
            <w:shd w:fill="FFFFFF" w:val="solid"/>
            <w:tcMar>
              <w:top w:type="dxa" w:w="60"/>
              <w:left w:type="dxa" w:w="100"/>
              <w:bottom w:type="dxa" w:w="60"/>
              <w:right w:type="dxa" w:w="100"/>
            </w:tcMar>
          </w:tcPr>
          <w:p>
            <w:pPr>
              <w:jc w:val="left"/>
            </w:pPr>
            <w:r>
              <w:rPr>
                <w:rFonts w:ascii="Calibri" w:cs="Calibri" w:eastAsia="Calibri" w:hAnsi="Calibri"/>
                <w:color w:val="A12C7B"/>
                <w:sz w:val="18"/>
                <w:szCs w:val="18"/>
              </w:rPr>
              <w:t xml:space="preserve">Open — pre-launch blocker</w:t>
            </w:r>
          </w:p>
        </w:tc>
      </w:tr>
      <w:tr>
        <w:tc>
          <w:tcPr>
            <w:shd w:fill="FFFFFF" w:val="solid"/>
            <w:tcMar>
              <w:top w:type="dxa" w:w="60"/>
              <w:left w:type="dxa" w:w="100"/>
              <w:bottom w:type="dxa" w:w="60"/>
              <w:right w:type="dxa" w:w="100"/>
            </w:tcMar>
          </w:tcPr>
          <w:p>
            <w:pPr>
              <w:jc w:val="left"/>
            </w:pPr>
            <w:r>
              <w:rPr>
                <w:rFonts w:ascii="Calibri" w:cs="Calibri" w:eastAsia="Calibri" w:hAnsi="Calibri"/>
                <w:color w:val="1B474D"/>
                <w:sz w:val="18"/>
                <w:szCs w:val="18"/>
              </w:rPr>
              <w:t xml:space="preserve">Finding 4 / EVAL-WEIGHTS ref</w:t>
            </w:r>
          </w:p>
        </w:tc>
        <w:tc>
          <w:tcPr>
            <w:shd w:fill="FFFFFF" w:val="solid"/>
            <w:tcMar>
              <w:top w:type="dxa" w:w="60"/>
              <w:left w:type="dxa" w:w="100"/>
              <w:bottom w:type="dxa" w:w="60"/>
              <w:right w:type="dxa" w:w="100"/>
            </w:tcMar>
          </w:tcPr>
          <w:p>
            <w:pPr>
              <w:jc w:val="left"/>
            </w:pPr>
            <w:r>
              <w:rPr>
                <w:rFonts w:ascii="Calibri" w:cs="Calibri" w:eastAsia="Calibri" w:hAnsi="Calibri"/>
                <w:color w:val="28251D"/>
                <w:sz w:val="18"/>
                <w:szCs w:val="18"/>
              </w:rPr>
              <w:t xml:space="preserve">ChatWindow.tsx retirement — governance gap</w:t>
            </w:r>
          </w:p>
        </w:tc>
        <w:tc>
          <w:tcPr>
            <w:shd w:fill="FFFFFF" w:val="solid"/>
            <w:tcMar>
              <w:top w:type="dxa" w:w="60"/>
              <w:left w:type="dxa" w:w="100"/>
              <w:bottom w:type="dxa" w:w="60"/>
              <w:right w:type="dxa" w:w="100"/>
            </w:tcMar>
          </w:tcPr>
          <w:p>
            <w:pPr>
              <w:jc w:val="left"/>
            </w:pPr>
            <w:r>
              <w:rPr>
                <w:rFonts w:ascii="Calibri" w:cs="Calibri" w:eastAsia="Calibri" w:hAnsi="Calibri"/>
                <w:color w:val="964219"/>
                <w:sz w:val="18"/>
                <w:szCs w:val="18"/>
              </w:rPr>
              <w:t xml:space="preserve">OPEN HIGH</w:t>
            </w:r>
          </w:p>
        </w:tc>
        <w:tc>
          <w:tcPr>
            <w:shd w:fill="FFFFFF" w:val="solid"/>
            <w:tcMar>
              <w:top w:type="dxa" w:w="60"/>
              <w:left w:type="dxa" w:w="100"/>
              <w:bottom w:type="dxa" w:w="60"/>
              <w:right w:type="dxa" w:w="100"/>
            </w:tcMar>
          </w:tcPr>
          <w:p>
            <w:pPr>
              <w:jc w:val="left"/>
            </w:pPr>
            <w:r>
              <w:rPr>
                <w:rFonts w:ascii="Calibri" w:cs="Calibri" w:eastAsia="Calibri" w:hAnsi="Calibri"/>
                <w:color w:val="28251D"/>
                <w:sz w:val="18"/>
                <w:szCs w:val="18"/>
              </w:rPr>
              <w:t xml:space="preserve">Not addressed by factory. Governance story still required.</w:t>
            </w:r>
          </w:p>
        </w:tc>
        <w:tc>
          <w:tcPr>
            <w:shd w:fill="FFFFFF" w:val="solid"/>
            <w:tcMar>
              <w:top w:type="dxa" w:w="60"/>
              <w:left w:type="dxa" w:w="100"/>
              <w:bottom w:type="dxa" w:w="60"/>
              <w:right w:type="dxa" w:w="100"/>
            </w:tcMar>
          </w:tcPr>
          <w:p>
            <w:pPr>
              <w:jc w:val="left"/>
            </w:pPr>
            <w:r>
              <w:rPr>
                <w:rFonts w:ascii="Calibri" w:cs="Calibri" w:eastAsia="Calibri" w:hAnsi="Calibri"/>
                <w:color w:val="A12C7B"/>
                <w:sz w:val="18"/>
                <w:szCs w:val="18"/>
              </w:rPr>
              <w:t xml:space="preserve">Open — governance action needed</w:t>
            </w:r>
          </w:p>
        </w:tc>
      </w:tr>
      <w:tr>
        <w:tc>
          <w:tcPr>
            <w:shd w:fill="FFFFFF" w:val="solid"/>
            <w:tcMar>
              <w:top w:type="dxa" w:w="60"/>
              <w:left w:type="dxa" w:w="100"/>
              <w:bottom w:type="dxa" w:w="60"/>
              <w:right w:type="dxa" w:w="100"/>
            </w:tcMar>
          </w:tcPr>
          <w:p>
            <w:pPr>
              <w:jc w:val="left"/>
            </w:pPr>
            <w:r>
              <w:rPr>
                <w:rFonts w:ascii="Calibri" w:cs="Calibri" w:eastAsia="Calibri" w:hAnsi="Calibri"/>
                <w:color w:val="1B474D"/>
                <w:sz w:val="18"/>
                <w:szCs w:val="18"/>
              </w:rPr>
              <w:t xml:space="preserve">Finding 5 / UAT Feature 9</w:t>
            </w:r>
          </w:p>
        </w:tc>
        <w:tc>
          <w:tcPr>
            <w:shd w:fill="FFFFFF" w:val="solid"/>
            <w:tcMar>
              <w:top w:type="dxa" w:w="60"/>
              <w:left w:type="dxa" w:w="100"/>
              <w:bottom w:type="dxa" w:w="60"/>
              <w:right w:type="dxa" w:w="100"/>
            </w:tcMar>
          </w:tcPr>
          <w:p>
            <w:pPr>
              <w:jc w:val="left"/>
            </w:pPr>
            <w:r>
              <w:rPr>
                <w:rFonts w:ascii="Calibri" w:cs="Calibri" w:eastAsia="Calibri" w:hAnsi="Calibri"/>
                <w:color w:val="28251D"/>
                <w:sz w:val="18"/>
                <w:szCs w:val="18"/>
              </w:rPr>
              <w:t xml:space="preserve">URL Guardian dead-coded — hallucinated URLs reach users</w:t>
            </w:r>
          </w:p>
        </w:tc>
        <w:tc>
          <w:tcPr>
            <w:shd w:fill="FFFFFF" w:val="solid"/>
            <w:tcMar>
              <w:top w:type="dxa" w:w="60"/>
              <w:left w:type="dxa" w:w="100"/>
              <w:bottom w:type="dxa" w:w="60"/>
              <w:right w:type="dxa" w:w="100"/>
            </w:tcMar>
          </w:tcPr>
          <w:p>
            <w:pPr>
              <w:jc w:val="left"/>
            </w:pPr>
            <w:r>
              <w:rPr>
                <w:rFonts w:ascii="Calibri" w:cs="Calibri" w:eastAsia="Calibri" w:hAnsi="Calibri"/>
                <w:color w:val="964219"/>
                <w:sz w:val="18"/>
                <w:szCs w:val="18"/>
              </w:rPr>
              <w:t xml:space="preserve">OPEN HIGH</w:t>
            </w:r>
          </w:p>
        </w:tc>
        <w:tc>
          <w:tcPr>
            <w:shd w:fill="FFFFFF" w:val="solid"/>
            <w:tcMar>
              <w:top w:type="dxa" w:w="60"/>
              <w:left w:type="dxa" w:w="100"/>
              <w:bottom w:type="dxa" w:w="60"/>
              <w:right w:type="dxa" w:w="100"/>
            </w:tcMar>
          </w:tcPr>
          <w:p>
            <w:pPr>
              <w:jc w:val="left"/>
            </w:pPr>
            <w:r>
              <w:rPr>
                <w:rFonts w:ascii="Calibri" w:cs="Calibri" w:eastAsia="Calibri" w:hAnsi="Calibri"/>
                <w:color w:val="28251D"/>
                <w:sz w:val="18"/>
                <w:szCs w:val="18"/>
              </w:rPr>
              <w:t xml:space="preserve">URL Guardian restores as base class post-output transform</w:t>
            </w:r>
          </w:p>
        </w:tc>
        <w:tc>
          <w:tcPr>
            <w:shd w:fill="FFFFFF" w:val="solid"/>
            <w:tcMar>
              <w:top w:type="dxa" w:w="60"/>
              <w:left w:type="dxa" w:w="100"/>
              <w:bottom w:type="dxa" w:w="60"/>
              <w:right w:type="dxa" w:w="100"/>
            </w:tcMar>
          </w:tcPr>
          <w:p>
            <w:pPr>
              <w:jc w:val="left"/>
            </w:pPr>
            <w:r>
              <w:rPr>
                <w:rFonts w:ascii="Calibri" w:cs="Calibri" w:eastAsia="Calibri" w:hAnsi="Calibri"/>
                <w:color w:val="437A22"/>
                <w:sz w:val="18"/>
                <w:szCs w:val="18"/>
              </w:rPr>
              <w:t xml:space="preserve">Design-resolved, impl pending</w:t>
            </w:r>
          </w:p>
        </w:tc>
      </w:tr>
      <w:tr>
        <w:tc>
          <w:tcPr>
            <w:shd w:fill="FFFFFF" w:val="solid"/>
            <w:tcMar>
              <w:top w:type="dxa" w:w="60"/>
              <w:left w:type="dxa" w:w="100"/>
              <w:bottom w:type="dxa" w:w="60"/>
              <w:right w:type="dxa" w:w="100"/>
            </w:tcMar>
          </w:tcPr>
          <w:p>
            <w:pPr>
              <w:jc w:val="left"/>
            </w:pPr>
            <w:r>
              <w:rPr>
                <w:rFonts w:ascii="Calibri" w:cs="Calibri" w:eastAsia="Calibri" w:hAnsi="Calibri"/>
                <w:color w:val="1B474D"/>
                <w:sz w:val="18"/>
                <w:szCs w:val="18"/>
              </w:rPr>
              <w:t xml:space="preserve">Finding 6 / BUG-VECTOR-001</w:t>
            </w:r>
          </w:p>
        </w:tc>
        <w:tc>
          <w:tcPr>
            <w:shd w:fill="FFFFFF" w:val="solid"/>
            <w:tcMar>
              <w:top w:type="dxa" w:w="60"/>
              <w:left w:type="dxa" w:w="100"/>
              <w:bottom w:type="dxa" w:w="60"/>
              <w:right w:type="dxa" w:w="100"/>
            </w:tcMar>
          </w:tcPr>
          <w:p>
            <w:pPr>
              <w:jc w:val="left"/>
            </w:pPr>
            <w:r>
              <w:rPr>
                <w:rFonts w:ascii="Calibri" w:cs="Calibri" w:eastAsia="Calibri" w:hAnsi="Calibri"/>
                <w:color w:val="28251D"/>
                <w:sz w:val="18"/>
                <w:szCs w:val="18"/>
              </w:rPr>
              <w:t xml:space="preserve">Regex specialty fallback removed — no safety net</w:t>
            </w:r>
          </w:p>
        </w:tc>
        <w:tc>
          <w:tcPr>
            <w:shd w:fill="FFFFFF" w:val="solid"/>
            <w:tcMar>
              <w:top w:type="dxa" w:w="60"/>
              <w:left w:type="dxa" w:w="100"/>
              <w:bottom w:type="dxa" w:w="60"/>
              <w:right w:type="dxa" w:w="100"/>
            </w:tcMar>
          </w:tcPr>
          <w:p>
            <w:pPr>
              <w:jc w:val="left"/>
            </w:pPr>
            <w:r>
              <w:rPr>
                <w:rFonts w:ascii="Calibri" w:cs="Calibri" w:eastAsia="Calibri" w:hAnsi="Calibri"/>
                <w:color w:val="964219"/>
                <w:sz w:val="18"/>
                <w:szCs w:val="18"/>
              </w:rPr>
              <w:t xml:space="preserve">OPEN MEDIUM</w:t>
            </w:r>
          </w:p>
        </w:tc>
        <w:tc>
          <w:tcPr>
            <w:shd w:fill="FFFFFF" w:val="solid"/>
            <w:tcMar>
              <w:top w:type="dxa" w:w="60"/>
              <w:left w:type="dxa" w:w="100"/>
              <w:bottom w:type="dxa" w:w="60"/>
              <w:right w:type="dxa" w:w="100"/>
            </w:tcMar>
          </w:tcPr>
          <w:p>
            <w:pPr>
              <w:jc w:val="left"/>
            </w:pPr>
            <w:r>
              <w:rPr>
                <w:rFonts w:ascii="Calibri" w:cs="Calibri" w:eastAsia="Calibri" w:hAnsi="Calibri"/>
                <w:color w:val="28251D"/>
                <w:sz w:val="18"/>
                <w:szCs w:val="18"/>
              </w:rPr>
              <w:t xml:space="preserve">Not addressed. try/except fallback in specialty_service.py still required</w:t>
            </w:r>
          </w:p>
        </w:tc>
        <w:tc>
          <w:tcPr>
            <w:shd w:fill="FFFFFF" w:val="solid"/>
            <w:tcMar>
              <w:top w:type="dxa" w:w="60"/>
              <w:left w:type="dxa" w:w="100"/>
              <w:bottom w:type="dxa" w:w="60"/>
              <w:right w:type="dxa" w:w="100"/>
            </w:tcMar>
          </w:tcPr>
          <w:p>
            <w:pPr>
              <w:jc w:val="left"/>
            </w:pPr>
            <w:r>
              <w:rPr>
                <w:rFonts w:ascii="Calibri" w:cs="Calibri" w:eastAsia="Calibri" w:hAnsi="Calibri"/>
                <w:color w:val="A12C7B"/>
                <w:sz w:val="18"/>
                <w:szCs w:val="18"/>
              </w:rPr>
              <w:t xml:space="preserve">Open — implementation required</w:t>
            </w:r>
          </w:p>
        </w:tc>
      </w:tr>
      <w:tr>
        <w:tc>
          <w:tcPr>
            <w:shd w:fill="FFFFFF" w:val="solid"/>
            <w:tcMar>
              <w:top w:type="dxa" w:w="60"/>
              <w:left w:type="dxa" w:w="100"/>
              <w:bottom w:type="dxa" w:w="60"/>
              <w:right w:type="dxa" w:w="100"/>
            </w:tcMar>
          </w:tcPr>
          <w:p>
            <w:pPr>
              <w:jc w:val="left"/>
            </w:pPr>
            <w:r>
              <w:rPr>
                <w:rFonts w:ascii="Calibri" w:cs="Calibri" w:eastAsia="Calibri" w:hAnsi="Calibri"/>
                <w:color w:val="1B474D"/>
                <w:sz w:val="18"/>
                <w:szCs w:val="18"/>
              </w:rPr>
              <w:t xml:space="preserve">Finding 7 / DC-003</w:t>
            </w:r>
          </w:p>
        </w:tc>
        <w:tc>
          <w:tcPr>
            <w:shd w:fill="FFFFFF" w:val="solid"/>
            <w:tcMar>
              <w:top w:type="dxa" w:w="60"/>
              <w:left w:type="dxa" w:w="100"/>
              <w:bottom w:type="dxa" w:w="60"/>
              <w:right w:type="dxa" w:w="100"/>
            </w:tcMar>
          </w:tcPr>
          <w:p>
            <w:pPr>
              <w:jc w:val="left"/>
            </w:pPr>
            <w:r>
              <w:rPr>
                <w:rFonts w:ascii="Calibri" w:cs="Calibri" w:eastAsia="Calibri" w:hAnsi="Calibri"/>
                <w:color w:val="28251D"/>
                <w:sz w:val="18"/>
                <w:szCs w:val="18"/>
              </w:rPr>
              <w:t xml:space="preserve">Specialty ranker built, disabled, no formal decision</w:t>
            </w:r>
          </w:p>
        </w:tc>
        <w:tc>
          <w:tcPr>
            <w:shd w:fill="FFFFFF" w:val="solid"/>
            <w:tcMar>
              <w:top w:type="dxa" w:w="60"/>
              <w:left w:type="dxa" w:w="100"/>
              <w:bottom w:type="dxa" w:w="60"/>
              <w:right w:type="dxa" w:w="100"/>
            </w:tcMar>
          </w:tcPr>
          <w:p>
            <w:pPr>
              <w:jc w:val="left"/>
            </w:pPr>
            <w:r>
              <w:rPr>
                <w:rFonts w:ascii="Calibri" w:cs="Calibri" w:eastAsia="Calibri" w:hAnsi="Calibri"/>
                <w:color w:val="964219"/>
                <w:sz w:val="18"/>
                <w:szCs w:val="18"/>
              </w:rPr>
              <w:t xml:space="preserve">OPEN MEDIUM</w:t>
            </w:r>
          </w:p>
        </w:tc>
        <w:tc>
          <w:tcPr>
            <w:shd w:fill="FFFFFF" w:val="solid"/>
            <w:tcMar>
              <w:top w:type="dxa" w:w="60"/>
              <w:left w:type="dxa" w:w="100"/>
              <w:bottom w:type="dxa" w:w="60"/>
              <w:right w:type="dxa" w:w="100"/>
            </w:tcMar>
          </w:tcPr>
          <w:p>
            <w:pPr>
              <w:jc w:val="left"/>
            </w:pPr>
            <w:r>
              <w:rPr>
                <w:rFonts w:ascii="Calibri" w:cs="Calibri" w:eastAsia="Calibri" w:hAnsi="Calibri"/>
                <w:color w:val="28251D"/>
                <w:sz w:val="18"/>
                <w:szCs w:val="18"/>
              </w:rPr>
              <w:t xml:space="preserve">FindCareSearchFacade provides correct home; decide-gate story still required</w:t>
            </w:r>
          </w:p>
        </w:tc>
        <w:tc>
          <w:tcPr>
            <w:shd w:fill="FFFFFF" w:val="solid"/>
            <w:tcMar>
              <w:top w:type="dxa" w:w="60"/>
              <w:left w:type="dxa" w:w="100"/>
              <w:bottom w:type="dxa" w:w="60"/>
              <w:right w:type="dxa" w:w="100"/>
            </w:tcMar>
          </w:tcPr>
          <w:p>
            <w:pPr>
              <w:jc w:val="left"/>
            </w:pPr>
            <w:r>
              <w:rPr>
                <w:rFonts w:ascii="Calibri" w:cs="Calibri" w:eastAsia="Calibri" w:hAnsi="Calibri"/>
                <w:color w:val="437A22"/>
                <w:sz w:val="18"/>
                <w:szCs w:val="18"/>
              </w:rPr>
              <w:t xml:space="preserve">Design-resolved, impl pending</w:t>
            </w:r>
          </w:p>
        </w:tc>
      </w:tr>
      <w:tr>
        <w:tc>
          <w:tcPr>
            <w:shd w:fill="FFFFFF" w:val="solid"/>
            <w:tcMar>
              <w:top w:type="dxa" w:w="60"/>
              <w:left w:type="dxa" w:w="100"/>
              <w:bottom w:type="dxa" w:w="60"/>
              <w:right w:type="dxa" w:w="100"/>
            </w:tcMar>
          </w:tcPr>
          <w:p>
            <w:pPr>
              <w:jc w:val="left"/>
            </w:pPr>
            <w:r>
              <w:rPr>
                <w:rFonts w:ascii="Calibri" w:cs="Calibri" w:eastAsia="Calibri" w:hAnsi="Calibri"/>
                <w:color w:val="1B474D"/>
                <w:sz w:val="18"/>
                <w:szCs w:val="18"/>
              </w:rPr>
              <w:t xml:space="preserve">Finding 8 / ASN-12058C</w:t>
            </w:r>
          </w:p>
        </w:tc>
        <w:tc>
          <w:tcPr>
            <w:shd w:fill="FFFFFF" w:val="solid"/>
            <w:tcMar>
              <w:top w:type="dxa" w:w="60"/>
              <w:left w:type="dxa" w:w="100"/>
              <w:bottom w:type="dxa" w:w="60"/>
              <w:right w:type="dxa" w:w="100"/>
            </w:tcMar>
          </w:tcPr>
          <w:p>
            <w:pPr>
              <w:jc w:val="left"/>
            </w:pPr>
            <w:r>
              <w:rPr>
                <w:rFonts w:ascii="Calibri" w:cs="Calibri" w:eastAsia="Calibri" w:hAnsi="Calibri"/>
                <w:color w:val="28251D"/>
                <w:sz w:val="18"/>
                <w:szCs w:val="18"/>
              </w:rPr>
              <w:t xml:space="preserve">LLM narrative response inaccessible from FindCareApp</w:t>
            </w:r>
          </w:p>
        </w:tc>
        <w:tc>
          <w:tcPr>
            <w:shd w:fill="FFFFFF" w:val="solid"/>
            <w:tcMar>
              <w:top w:type="dxa" w:w="60"/>
              <w:left w:type="dxa" w:w="100"/>
              <w:bottom w:type="dxa" w:w="60"/>
              <w:right w:type="dxa" w:w="100"/>
            </w:tcMar>
          </w:tcPr>
          <w:p>
            <w:pPr>
              <w:jc w:val="left"/>
            </w:pPr>
            <w:r>
              <w:rPr>
                <w:rFonts w:ascii="Calibri" w:cs="Calibri" w:eastAsia="Calibri" w:hAnsi="Calibri"/>
                <w:color w:val="964219"/>
                <w:sz w:val="18"/>
                <w:szCs w:val="18"/>
              </w:rPr>
              <w:t xml:space="preserve">OPEN MEDIUM</w:t>
            </w:r>
          </w:p>
        </w:tc>
        <w:tc>
          <w:tcPr>
            <w:shd w:fill="FFFFFF" w:val="solid"/>
            <w:tcMar>
              <w:top w:type="dxa" w:w="60"/>
              <w:left w:type="dxa" w:w="100"/>
              <w:bottom w:type="dxa" w:w="60"/>
              <w:right w:type="dxa" w:w="100"/>
            </w:tcMar>
          </w:tcPr>
          <w:p>
            <w:pPr>
              <w:jc w:val="left"/>
            </w:pPr>
            <w:r>
              <w:rPr>
                <w:rFonts w:ascii="Calibri" w:cs="Calibri" w:eastAsia="Calibri" w:hAnsi="Calibri"/>
                <w:color w:val="28251D"/>
                <w:sz w:val="18"/>
                <w:szCs w:val="18"/>
              </w:rPr>
              <w:t xml:space="preserve">Factory output schema includes narrative_response field; FindCareApp renders</w:t>
            </w:r>
          </w:p>
        </w:tc>
        <w:tc>
          <w:tcPr>
            <w:shd w:fill="FFFFFF" w:val="solid"/>
            <w:tcMar>
              <w:top w:type="dxa" w:w="60"/>
              <w:left w:type="dxa" w:w="100"/>
              <w:bottom w:type="dxa" w:w="60"/>
              <w:right w:type="dxa" w:w="100"/>
            </w:tcMar>
          </w:tcPr>
          <w:p>
            <w:pPr>
              <w:jc w:val="left"/>
            </w:pPr>
            <w:r>
              <w:rPr>
                <w:rFonts w:ascii="Calibri" w:cs="Calibri" w:eastAsia="Calibri" w:hAnsi="Calibri"/>
                <w:color w:val="437A22"/>
                <w:sz w:val="18"/>
                <w:szCs w:val="18"/>
              </w:rPr>
              <w:t xml:space="preserve">Design-resolved, impl pending</w:t>
            </w:r>
          </w:p>
        </w:tc>
      </w:tr>
      <w:tr>
        <w:tc>
          <w:tcPr>
            <w:shd w:fill="FFFFFF" w:val="solid"/>
            <w:tcMar>
              <w:top w:type="dxa" w:w="60"/>
              <w:left w:type="dxa" w:w="100"/>
              <w:bottom w:type="dxa" w:w="60"/>
              <w:right w:type="dxa" w:w="100"/>
            </w:tcMar>
          </w:tcPr>
          <w:p>
            <w:pPr>
              <w:jc w:val="left"/>
            </w:pPr>
            <w:r>
              <w:rPr>
                <w:rFonts w:ascii="Calibri" w:cs="Calibri" w:eastAsia="Calibri" w:hAnsi="Calibri"/>
                <w:color w:val="1B474D"/>
                <w:sz w:val="18"/>
                <w:szCs w:val="18"/>
              </w:rPr>
              <w:t xml:space="preserve">Finding 9 / BUG-SEC-001</w:t>
            </w:r>
          </w:p>
        </w:tc>
        <w:tc>
          <w:tcPr>
            <w:shd w:fill="FFFFFF" w:val="solid"/>
            <w:tcMar>
              <w:top w:type="dxa" w:w="60"/>
              <w:left w:type="dxa" w:w="100"/>
              <w:bottom w:type="dxa" w:w="60"/>
              <w:right w:type="dxa" w:w="100"/>
            </w:tcMar>
          </w:tcPr>
          <w:p>
            <w:pPr>
              <w:jc w:val="left"/>
            </w:pPr>
            <w:r>
              <w:rPr>
                <w:rFonts w:ascii="Calibri" w:cs="Calibri" w:eastAsia="Calibri" w:hAnsi="Calibri"/>
                <w:color w:val="28251D"/>
                <w:sz w:val="18"/>
                <w:szCs w:val="18"/>
              </w:rPr>
              <w:t xml:space="preserve">HuggingFace mTLS — bearer token fallback in production</w:t>
            </w:r>
          </w:p>
        </w:tc>
        <w:tc>
          <w:tcPr>
            <w:shd w:fill="FFFFFF" w:val="solid"/>
            <w:tcMar>
              <w:top w:type="dxa" w:w="60"/>
              <w:left w:type="dxa" w:w="100"/>
              <w:bottom w:type="dxa" w:w="60"/>
              <w:right w:type="dxa" w:w="100"/>
            </w:tcMar>
          </w:tcPr>
          <w:p>
            <w:pPr>
              <w:jc w:val="left"/>
            </w:pPr>
            <w:r>
              <w:rPr>
                <w:rFonts w:ascii="Calibri" w:cs="Calibri" w:eastAsia="Calibri" w:hAnsi="Calibri"/>
                <w:color w:val="964219"/>
                <w:sz w:val="18"/>
                <w:szCs w:val="18"/>
              </w:rPr>
              <w:t xml:space="preserve">OPEN MEDIUM (pre-launch)</w:t>
            </w:r>
          </w:p>
        </w:tc>
        <w:tc>
          <w:tcPr>
            <w:shd w:fill="FFFFFF" w:val="solid"/>
            <w:tcMar>
              <w:top w:type="dxa" w:w="60"/>
              <w:left w:type="dxa" w:w="100"/>
              <w:bottom w:type="dxa" w:w="60"/>
              <w:right w:type="dxa" w:w="100"/>
            </w:tcMar>
          </w:tcPr>
          <w:p>
            <w:pPr>
              <w:jc w:val="left"/>
            </w:pPr>
            <w:r>
              <w:rPr>
                <w:rFonts w:ascii="Calibri" w:cs="Calibri" w:eastAsia="Calibri" w:hAnsi="Calibri"/>
                <w:color w:val="28251D"/>
                <w:sz w:val="18"/>
                <w:szCs w:val="18"/>
              </w:rPr>
              <w:t xml:space="preserve">Not addressed. SecurityFacade scopes the concern; SEC-CERTAUTH-REMOTE still open</w:t>
            </w:r>
          </w:p>
        </w:tc>
        <w:tc>
          <w:tcPr>
            <w:shd w:fill="FFFFFF" w:val="solid"/>
            <w:tcMar>
              <w:top w:type="dxa" w:w="60"/>
              <w:left w:type="dxa" w:w="100"/>
              <w:bottom w:type="dxa" w:w="60"/>
              <w:right w:type="dxa" w:w="100"/>
            </w:tcMar>
          </w:tcPr>
          <w:p>
            <w:pPr>
              <w:jc w:val="left"/>
            </w:pPr>
            <w:r>
              <w:rPr>
                <w:rFonts w:ascii="Calibri" w:cs="Calibri" w:eastAsia="Calibri" w:hAnsi="Calibri"/>
                <w:color w:val="A12C7B"/>
                <w:sz w:val="18"/>
                <w:szCs w:val="18"/>
              </w:rPr>
              <w:t xml:space="preserve">Open — pre-launch blocker</w:t>
            </w:r>
          </w:p>
        </w:tc>
      </w:tr>
      <w:tr>
        <w:tc>
          <w:tcPr>
            <w:shd w:fill="FFFFFF" w:val="solid"/>
            <w:tcMar>
              <w:top w:type="dxa" w:w="60"/>
              <w:left w:type="dxa" w:w="100"/>
              <w:bottom w:type="dxa" w:w="60"/>
              <w:right w:type="dxa" w:w="100"/>
            </w:tcMar>
          </w:tcPr>
          <w:p>
            <w:pPr>
              <w:jc w:val="left"/>
            </w:pPr>
            <w:r>
              <w:rPr>
                <w:rFonts w:ascii="Calibri" w:cs="Calibri" w:eastAsia="Calibri" w:hAnsi="Calibri"/>
                <w:color w:val="1B474D"/>
                <w:sz w:val="18"/>
                <w:szCs w:val="18"/>
              </w:rPr>
              <w:t xml:space="preserve">Finding 10 / ASN-6D0265</w:t>
            </w:r>
          </w:p>
        </w:tc>
        <w:tc>
          <w:tcPr>
            <w:shd w:fill="FFFFFF" w:val="solid"/>
            <w:tcMar>
              <w:top w:type="dxa" w:w="60"/>
              <w:left w:type="dxa" w:w="100"/>
              <w:bottom w:type="dxa" w:w="60"/>
              <w:right w:type="dxa" w:w="100"/>
            </w:tcMar>
          </w:tcPr>
          <w:p>
            <w:pPr>
              <w:jc w:val="left"/>
            </w:pPr>
            <w:r>
              <w:rPr>
                <w:rFonts w:ascii="Calibri" w:cs="Calibri" w:eastAsia="Calibri" w:hAnsi="Calibri"/>
                <w:color w:val="28251D"/>
                <w:sz w:val="18"/>
                <w:szCs w:val="18"/>
              </w:rPr>
              <w:t xml:space="preserve">Brain loop dead-coded — MongoDB migration abandoned</w:t>
            </w:r>
          </w:p>
        </w:tc>
        <w:tc>
          <w:tcPr>
            <w:shd w:fill="FFFFFF" w:val="solid"/>
            <w:tcMar>
              <w:top w:type="dxa" w:w="60"/>
              <w:left w:type="dxa" w:w="100"/>
              <w:bottom w:type="dxa" w:w="60"/>
              <w:right w:type="dxa" w:w="100"/>
            </w:tcMar>
          </w:tcPr>
          <w:p>
            <w:pPr>
              <w:jc w:val="left"/>
            </w:pPr>
            <w:r>
              <w:rPr>
                <w:rFonts w:ascii="Calibri" w:cs="Calibri" w:eastAsia="Calibri" w:hAnsi="Calibri"/>
                <w:color w:val="964219"/>
                <w:sz w:val="18"/>
                <w:szCs w:val="18"/>
              </w:rPr>
              <w:t xml:space="preserve">OPEN LOW</w:t>
            </w:r>
          </w:p>
        </w:tc>
        <w:tc>
          <w:tcPr>
            <w:shd w:fill="FFFFFF" w:val="solid"/>
            <w:tcMar>
              <w:top w:type="dxa" w:w="60"/>
              <w:left w:type="dxa" w:w="100"/>
              <w:bottom w:type="dxa" w:w="60"/>
              <w:right w:type="dxa" w:w="100"/>
            </w:tcMar>
          </w:tcPr>
          <w:p>
            <w:pPr>
              <w:jc w:val="left"/>
            </w:pPr>
            <w:r>
              <w:rPr>
                <w:rFonts w:ascii="Calibri" w:cs="Calibri" w:eastAsia="Calibri" w:hAnsi="Calibri"/>
                <w:color w:val="28251D"/>
                <w:sz w:val="18"/>
                <w:szCs w:val="18"/>
              </w:rPr>
              <w:t xml:space="preserve">Not in scope for factory design</w:t>
            </w:r>
          </w:p>
        </w:tc>
        <w:tc>
          <w:tcPr>
            <w:shd w:fill="FFFFFF" w:val="solid"/>
            <w:tcMar>
              <w:top w:type="dxa" w:w="60"/>
              <w:left w:type="dxa" w:w="100"/>
              <w:bottom w:type="dxa" w:w="60"/>
              <w:right w:type="dxa" w:w="100"/>
            </w:tcMar>
          </w:tcPr>
          <w:p>
            <w:pPr>
              <w:jc w:val="left"/>
            </w:pPr>
            <w:r>
              <w:rPr>
                <w:rFonts w:ascii="Calibri" w:cs="Calibri" w:eastAsia="Calibri" w:hAnsi="Calibri"/>
                <w:color w:val="A12C7B"/>
                <w:sz w:val="18"/>
                <w:szCs w:val="18"/>
              </w:rPr>
              <w:t xml:space="preserve">Open — disposition story required</w:t>
            </w:r>
          </w:p>
        </w:tc>
      </w:tr>
      <w:tr>
        <w:tc>
          <w:tcPr>
            <w:shd w:fill="FFFFFF" w:val="solid"/>
            <w:tcMar>
              <w:top w:type="dxa" w:w="60"/>
              <w:left w:type="dxa" w:w="100"/>
              <w:bottom w:type="dxa" w:w="60"/>
              <w:right w:type="dxa" w:w="100"/>
            </w:tcMar>
          </w:tcPr>
          <w:p>
            <w:pPr>
              <w:jc w:val="left"/>
            </w:pPr>
            <w:r>
              <w:rPr>
                <w:rFonts w:ascii="Calibri" w:cs="Calibri" w:eastAsia="Calibri" w:hAnsi="Calibri"/>
                <w:color w:val="1B474D"/>
                <w:sz w:val="18"/>
                <w:szCs w:val="18"/>
              </w:rPr>
              <w:t xml:space="preserve">Finding 11 / ASN-F5801E</w:t>
            </w:r>
          </w:p>
        </w:tc>
        <w:tc>
          <w:tcPr>
            <w:shd w:fill="FFFFFF" w:val="solid"/>
            <w:tcMar>
              <w:top w:type="dxa" w:w="60"/>
              <w:left w:type="dxa" w:w="100"/>
              <w:bottom w:type="dxa" w:w="60"/>
              <w:right w:type="dxa" w:w="100"/>
            </w:tcMar>
          </w:tcPr>
          <w:p>
            <w:pPr>
              <w:jc w:val="left"/>
            </w:pPr>
            <w:r>
              <w:rPr>
                <w:rFonts w:ascii="Calibri" w:cs="Calibri" w:eastAsia="Calibri" w:hAnsi="Calibri"/>
                <w:color w:val="28251D"/>
                <w:sz w:val="18"/>
                <w:szCs w:val="18"/>
              </w:rPr>
              <w:t xml:space="preserve">Dynamic context loading — all-load on every request</w:t>
            </w:r>
          </w:p>
        </w:tc>
        <w:tc>
          <w:tcPr>
            <w:shd w:fill="FFFFFF" w:val="solid"/>
            <w:tcMar>
              <w:top w:type="dxa" w:w="60"/>
              <w:left w:type="dxa" w:w="100"/>
              <w:bottom w:type="dxa" w:w="60"/>
              <w:right w:type="dxa" w:w="100"/>
            </w:tcMar>
          </w:tcPr>
          <w:p>
            <w:pPr>
              <w:jc w:val="left"/>
            </w:pPr>
            <w:r>
              <w:rPr>
                <w:rFonts w:ascii="Calibri" w:cs="Calibri" w:eastAsia="Calibri" w:hAnsi="Calibri"/>
                <w:color w:val="964219"/>
                <w:sz w:val="18"/>
                <w:szCs w:val="18"/>
              </w:rPr>
              <w:t xml:space="preserve">OPEN LOW</w:t>
            </w:r>
          </w:p>
        </w:tc>
        <w:tc>
          <w:tcPr>
            <w:shd w:fill="FFFFFF" w:val="solid"/>
            <w:tcMar>
              <w:top w:type="dxa" w:w="60"/>
              <w:left w:type="dxa" w:w="100"/>
              <w:bottom w:type="dxa" w:w="60"/>
              <w:right w:type="dxa" w:w="100"/>
            </w:tcMar>
          </w:tcPr>
          <w:p>
            <w:pPr>
              <w:jc w:val="left"/>
            </w:pPr>
            <w:r>
              <w:rPr>
                <w:rFonts w:ascii="Calibri" w:cs="Calibri" w:eastAsia="Calibri" w:hAnsi="Calibri"/>
                <w:color w:val="28251D"/>
                <w:sz w:val="18"/>
                <w:szCs w:val="18"/>
              </w:rPr>
              <w:t xml:space="preserve">Factory input assembly phase is correct implementation location</w:t>
            </w:r>
          </w:p>
        </w:tc>
        <w:tc>
          <w:tcPr>
            <w:shd w:fill="FFFFFF" w:val="solid"/>
            <w:tcMar>
              <w:top w:type="dxa" w:w="60"/>
              <w:left w:type="dxa" w:w="100"/>
              <w:bottom w:type="dxa" w:w="60"/>
              <w:right w:type="dxa" w:w="100"/>
            </w:tcMar>
          </w:tcPr>
          <w:p>
            <w:pPr>
              <w:jc w:val="left"/>
            </w:pPr>
            <w:r>
              <w:rPr>
                <w:rFonts w:ascii="Calibri" w:cs="Calibri" w:eastAsia="Calibri" w:hAnsi="Calibri"/>
                <w:color w:val="437A22"/>
                <w:sz w:val="18"/>
                <w:szCs w:val="18"/>
              </w:rPr>
              <w:t xml:space="preserve">Design-resolved, impl pending</w:t>
            </w:r>
          </w:p>
        </w:tc>
      </w:tr>
      <w:tr>
        <w:tc>
          <w:tcPr>
            <w:shd w:fill="FFFFFF" w:val="solid"/>
            <w:tcMar>
              <w:top w:type="dxa" w:w="60"/>
              <w:left w:type="dxa" w:w="100"/>
              <w:bottom w:type="dxa" w:w="60"/>
              <w:right w:type="dxa" w:w="100"/>
            </w:tcMar>
          </w:tcPr>
          <w:p>
            <w:pPr>
              <w:jc w:val="left"/>
            </w:pPr>
            <w:r>
              <w:rPr>
                <w:rFonts w:ascii="Calibri" w:cs="Calibri" w:eastAsia="Calibri" w:hAnsi="Calibri"/>
                <w:color w:val="1B474D"/>
                <w:sz w:val="18"/>
                <w:szCs w:val="18"/>
              </w:rPr>
              <w:t xml:space="preserve">Finding 12 / ASN-MAP001</w:t>
            </w:r>
          </w:p>
        </w:tc>
        <w:tc>
          <w:tcPr>
            <w:shd w:fill="FFFFFF" w:val="solid"/>
            <w:tcMar>
              <w:top w:type="dxa" w:w="60"/>
              <w:left w:type="dxa" w:w="100"/>
              <w:bottom w:type="dxa" w:w="60"/>
              <w:right w:type="dxa" w:w="100"/>
            </w:tcMar>
          </w:tcPr>
          <w:p>
            <w:pPr>
              <w:jc w:val="left"/>
            </w:pPr>
            <w:r>
              <w:rPr>
                <w:rFonts w:ascii="Calibri" w:cs="Calibri" w:eastAsia="Calibri" w:hAnsi="Calibri"/>
                <w:color w:val="28251D"/>
                <w:sz w:val="18"/>
                <w:szCs w:val="18"/>
              </w:rPr>
              <w:t xml:space="preserve">Google Maps provider map — never implemented</w:t>
            </w:r>
          </w:p>
        </w:tc>
        <w:tc>
          <w:tcPr>
            <w:shd w:fill="FFFFFF" w:val="solid"/>
            <w:tcMar>
              <w:top w:type="dxa" w:w="60"/>
              <w:left w:type="dxa" w:w="100"/>
              <w:bottom w:type="dxa" w:w="60"/>
              <w:right w:type="dxa" w:w="100"/>
            </w:tcMar>
          </w:tcPr>
          <w:p>
            <w:pPr>
              <w:jc w:val="left"/>
            </w:pPr>
            <w:r>
              <w:rPr>
                <w:rFonts w:ascii="Calibri" w:cs="Calibri" w:eastAsia="Calibri" w:hAnsi="Calibri"/>
                <w:color w:val="964219"/>
                <w:sz w:val="18"/>
                <w:szCs w:val="18"/>
              </w:rPr>
              <w:t xml:space="preserve">OPEN LOW (stretch)</w:t>
            </w:r>
          </w:p>
        </w:tc>
        <w:tc>
          <w:tcPr>
            <w:shd w:fill="FFFFFF" w:val="solid"/>
            <w:tcMar>
              <w:top w:type="dxa" w:w="60"/>
              <w:left w:type="dxa" w:w="100"/>
              <w:bottom w:type="dxa" w:w="60"/>
              <w:right w:type="dxa" w:w="100"/>
            </w:tcMar>
          </w:tcPr>
          <w:p>
            <w:pPr>
              <w:jc w:val="left"/>
            </w:pPr>
            <w:r>
              <w:rPr>
                <w:rFonts w:ascii="Calibri" w:cs="Calibri" w:eastAsia="Calibri" w:hAnsi="Calibri"/>
                <w:color w:val="28251D"/>
                <w:sz w:val="18"/>
                <w:szCs w:val="18"/>
              </w:rPr>
              <w:t xml:space="preserve">Not in scope for factory design</w:t>
            </w:r>
          </w:p>
        </w:tc>
        <w:tc>
          <w:tcPr>
            <w:shd w:fill="FFFFFF" w:val="solid"/>
            <w:tcMar>
              <w:top w:type="dxa" w:w="60"/>
              <w:left w:type="dxa" w:w="100"/>
              <w:bottom w:type="dxa" w:w="60"/>
              <w:right w:type="dxa" w:w="100"/>
            </w:tcMar>
          </w:tcPr>
          <w:p>
            <w:pPr>
              <w:jc w:val="left"/>
            </w:pPr>
            <w:r>
              <w:rPr>
                <w:rFonts w:ascii="Calibri" w:cs="Calibri" w:eastAsia="Calibri" w:hAnsi="Calibri"/>
                <w:color w:val="A12C7B"/>
                <w:sz w:val="18"/>
                <w:szCs w:val="18"/>
              </w:rPr>
              <w:t xml:space="preserve">Open — stretch goal, no regression</w:t>
            </w:r>
          </w:p>
        </w:tc>
      </w:tr>
      <w:tr>
        <w:tc>
          <w:tcPr>
            <w:shd w:fill="FFFFFF" w:val="solid"/>
            <w:tcMar>
              <w:top w:type="dxa" w:w="60"/>
              <w:left w:type="dxa" w:w="100"/>
              <w:bottom w:type="dxa" w:w="60"/>
              <w:right w:type="dxa" w:w="100"/>
            </w:tcMar>
          </w:tcPr>
          <w:p>
            <w:pPr>
              <w:jc w:val="left"/>
            </w:pPr>
            <w:r>
              <w:rPr>
                <w:rFonts w:ascii="Calibri" w:cs="Calibri" w:eastAsia="Calibri" w:hAnsi="Calibri"/>
                <w:color w:val="1B474D"/>
                <w:sz w:val="18"/>
                <w:szCs w:val="18"/>
              </w:rPr>
              <w:t xml:space="preserve">Finding 13 / EVAL-SCORE-PROV etc.</w:t>
            </w:r>
          </w:p>
        </w:tc>
        <w:tc>
          <w:tcPr>
            <w:shd w:fill="FFFFFF" w:val="solid"/>
            <w:tcMar>
              <w:top w:type="dxa" w:w="60"/>
              <w:left w:type="dxa" w:w="100"/>
              <w:bottom w:type="dxa" w:w="60"/>
              <w:right w:type="dxa" w:w="100"/>
            </w:tcMar>
          </w:tcPr>
          <w:p>
            <w:pPr>
              <w:jc w:val="left"/>
            </w:pPr>
            <w:r>
              <w:rPr>
                <w:rFonts w:ascii="Calibri" w:cs="Calibri" w:eastAsia="Calibri" w:hAnsi="Calibri"/>
                <w:color w:val="28251D"/>
                <w:sz w:val="18"/>
                <w:szCs w:val="18"/>
              </w:rPr>
              <w:t xml:space="preserve">EvaluateCare scoring, Rx, weights — not yet built</w:t>
            </w:r>
          </w:p>
        </w:tc>
        <w:tc>
          <w:tcPr>
            <w:shd w:fill="FFFFFF" w:val="solid"/>
            <w:tcMar>
              <w:top w:type="dxa" w:w="60"/>
              <w:left w:type="dxa" w:w="100"/>
              <w:bottom w:type="dxa" w:w="60"/>
              <w:right w:type="dxa" w:w="100"/>
            </w:tcMar>
          </w:tcPr>
          <w:p>
            <w:pPr>
              <w:jc w:val="left"/>
            </w:pPr>
            <w:r>
              <w:rPr>
                <w:rFonts w:ascii="Calibri" w:cs="Calibri" w:eastAsia="Calibri" w:hAnsi="Calibri"/>
                <w:color w:val="964219"/>
                <w:sz w:val="18"/>
                <w:szCs w:val="18"/>
              </w:rPr>
              <w:t xml:space="preserve">OPEN LOW (planned)</w:t>
            </w:r>
          </w:p>
        </w:tc>
        <w:tc>
          <w:tcPr>
            <w:shd w:fill="FFFFFF" w:val="solid"/>
            <w:tcMar>
              <w:top w:type="dxa" w:w="60"/>
              <w:left w:type="dxa" w:w="100"/>
              <w:bottom w:type="dxa" w:w="60"/>
              <w:right w:type="dxa" w:w="100"/>
            </w:tcMar>
          </w:tcPr>
          <w:p>
            <w:pPr>
              <w:jc w:val="left"/>
            </w:pPr>
            <w:r>
              <w:rPr>
                <w:rFonts w:ascii="Calibri" w:cs="Calibri" w:eastAsia="Calibri" w:hAnsi="Calibri"/>
                <w:color w:val="28251D"/>
                <w:sz w:val="18"/>
                <w:szCs w:val="18"/>
              </w:rPr>
              <w:t xml:space="preserve">EvaluateCareFacade is the correct child class for all EPIC-001 features</w:t>
            </w:r>
          </w:p>
        </w:tc>
        <w:tc>
          <w:tcPr>
            <w:shd w:fill="FFFFFF" w:val="solid"/>
            <w:tcMar>
              <w:top w:type="dxa" w:w="60"/>
              <w:left w:type="dxa" w:w="100"/>
              <w:bottom w:type="dxa" w:w="60"/>
              <w:right w:type="dxa" w:w="100"/>
            </w:tcMar>
          </w:tcPr>
          <w:p>
            <w:pPr>
              <w:jc w:val="left"/>
            </w:pPr>
            <w:r>
              <w:rPr>
                <w:rFonts w:ascii="Calibri" w:cs="Calibri" w:eastAsia="Calibri" w:hAnsi="Calibri"/>
                <w:color w:val="A12C7B"/>
                <w:sz w:val="18"/>
                <w:szCs w:val="18"/>
              </w:rPr>
              <w:t xml:space="preserve">Open — planned, on roadmap</w:t>
            </w:r>
          </w:p>
        </w:tc>
      </w:tr>
      <w:tr>
        <w:tc>
          <w:tcPr>
            <w:shd w:fill="FFFFFF" w:val="solid"/>
            <w:tcMar>
              <w:top w:type="dxa" w:w="60"/>
              <w:left w:type="dxa" w:w="100"/>
              <w:bottom w:type="dxa" w:w="60"/>
              <w:right w:type="dxa" w:w="100"/>
            </w:tcMar>
          </w:tcPr>
          <w:p>
            <w:pPr>
              <w:jc w:val="left"/>
            </w:pPr>
            <w:r>
              <w:rPr>
                <w:rFonts w:ascii="Calibri" w:cs="Calibri" w:eastAsia="Calibri" w:hAnsi="Calibri"/>
                <w:color w:val="1B474D"/>
                <w:sz w:val="18"/>
                <w:szCs w:val="18"/>
              </w:rPr>
              <w:t xml:space="preserve">HIPAA Consent / implicit</w:t>
            </w:r>
          </w:p>
        </w:tc>
        <w:tc>
          <w:tcPr>
            <w:shd w:fill="FFFFFF" w:val="solid"/>
            <w:tcMar>
              <w:top w:type="dxa" w:w="60"/>
              <w:left w:type="dxa" w:w="100"/>
              <w:bottom w:type="dxa" w:w="60"/>
              <w:right w:type="dxa" w:w="100"/>
            </w:tcMar>
          </w:tcPr>
          <w:p>
            <w:pPr>
              <w:jc w:val="left"/>
            </w:pPr>
            <w:r>
              <w:rPr>
                <w:rFonts w:ascii="Calibri" w:cs="Calibri" w:eastAsia="Calibri" w:hAnsi="Calibri"/>
                <w:color w:val="28251D"/>
                <w:sz w:val="18"/>
                <w:szCs w:val="18"/>
              </w:rPr>
              <w:t xml:space="preserve">Two-tier consent trigger — every 5th /chat message</w:t>
            </w:r>
          </w:p>
        </w:tc>
        <w:tc>
          <w:tcPr>
            <w:shd w:fill="FFFFFF" w:val="solid"/>
            <w:tcMar>
              <w:top w:type="dxa" w:w="60"/>
              <w:left w:type="dxa" w:w="100"/>
              <w:bottom w:type="dxa" w:w="60"/>
              <w:right w:type="dxa" w:w="100"/>
            </w:tcMar>
          </w:tcPr>
          <w:p>
            <w:pPr>
              <w:jc w:val="left"/>
            </w:pPr>
            <w:r>
              <w:rPr>
                <w:rFonts w:ascii="Calibri" w:cs="Calibri" w:eastAsia="Calibri" w:hAnsi="Calibri"/>
                <w:color w:val="964219"/>
                <w:sz w:val="18"/>
                <w:szCs w:val="18"/>
              </w:rPr>
              <w:t xml:space="preserve">UNOWNED (missed req)</w:t>
            </w:r>
          </w:p>
        </w:tc>
        <w:tc>
          <w:tcPr>
            <w:shd w:fill="FFFFFF" w:val="solid"/>
            <w:tcMar>
              <w:top w:type="dxa" w:w="60"/>
              <w:left w:type="dxa" w:w="100"/>
              <w:bottom w:type="dxa" w:w="60"/>
              <w:right w:type="dxa" w:w="100"/>
            </w:tcMar>
          </w:tcPr>
          <w:p>
            <w:pPr>
              <w:jc w:val="left"/>
            </w:pPr>
            <w:r>
              <w:rPr>
                <w:rFonts w:ascii="Calibri" w:cs="Calibri" w:eastAsia="Calibri" w:hAnsi="Calibri"/>
                <w:color w:val="28251D"/>
                <w:sz w:val="18"/>
                <w:szCs w:val="18"/>
              </w:rPr>
              <w:t xml:space="preserve">Must live in factory base class; no story exists</w:t>
            </w:r>
          </w:p>
        </w:tc>
        <w:tc>
          <w:tcPr>
            <w:shd w:fill="FFFFFF" w:val="solid"/>
            <w:tcMar>
              <w:top w:type="dxa" w:w="60"/>
              <w:left w:type="dxa" w:w="100"/>
              <w:bottom w:type="dxa" w:w="60"/>
              <w:right w:type="dxa" w:w="100"/>
            </w:tcMar>
          </w:tcPr>
          <w:p>
            <w:pPr>
              <w:jc w:val="left"/>
            </w:pPr>
            <w:r>
              <w:rPr>
                <w:rFonts w:ascii="Calibri" w:cs="Calibri" w:eastAsia="Calibri" w:hAnsi="Calibri"/>
                <w:color w:val="A12C7B"/>
                <w:sz w:val="18"/>
                <w:szCs w:val="18"/>
              </w:rPr>
              <w:t xml:space="preserve">Open — missed requirement, no owner</w:t>
            </w:r>
          </w:p>
        </w:tc>
      </w:tr>
      <w:tr>
        <w:tc>
          <w:tcPr>
            <w:shd w:fill="FFFFFF" w:val="solid"/>
            <w:tcMar>
              <w:top w:type="dxa" w:w="60"/>
              <w:left w:type="dxa" w:w="100"/>
              <w:bottom w:type="dxa" w:w="60"/>
              <w:right w:type="dxa" w:w="100"/>
            </w:tcMar>
          </w:tcPr>
          <w:p>
            <w:pPr>
              <w:jc w:val="left"/>
            </w:pPr>
            <w:r>
              <w:rPr>
                <w:rFonts w:ascii="Calibri" w:cs="Calibri" w:eastAsia="Calibri" w:hAnsi="Calibri"/>
                <w:color w:val="1B474D"/>
                <w:sz w:val="18"/>
                <w:szCs w:val="18"/>
              </w:rPr>
              <w:t xml:space="preserve">SEC-CERTAUTH-REMOTE</w:t>
            </w:r>
          </w:p>
        </w:tc>
        <w:tc>
          <w:tcPr>
            <w:shd w:fill="FFFFFF" w:val="solid"/>
            <w:tcMar>
              <w:top w:type="dxa" w:w="60"/>
              <w:left w:type="dxa" w:w="100"/>
              <w:bottom w:type="dxa" w:w="60"/>
              <w:right w:type="dxa" w:w="100"/>
            </w:tcMar>
          </w:tcPr>
          <w:p>
            <w:pPr>
              <w:jc w:val="left"/>
            </w:pPr>
            <w:r>
              <w:rPr>
                <w:rFonts w:ascii="Calibri" w:cs="Calibri" w:eastAsia="Calibri" w:hAnsi="Calibri"/>
                <w:color w:val="28251D"/>
                <w:sz w:val="18"/>
                <w:szCs w:val="18"/>
              </w:rPr>
              <w:t xml:space="preserve">Remote mTLS — HF Spaces x509 auth</w:t>
            </w:r>
          </w:p>
        </w:tc>
        <w:tc>
          <w:tcPr>
            <w:shd w:fill="FFFFFF" w:val="solid"/>
            <w:tcMar>
              <w:top w:type="dxa" w:w="60"/>
              <w:left w:type="dxa" w:w="100"/>
              <w:bottom w:type="dxa" w:w="60"/>
              <w:right w:type="dxa" w:w="100"/>
            </w:tcMar>
          </w:tcPr>
          <w:p>
            <w:pPr>
              <w:jc w:val="left"/>
            </w:pPr>
            <w:r>
              <w:rPr>
                <w:rFonts w:ascii="Calibri" w:cs="Calibri" w:eastAsia="Calibri" w:hAnsi="Calibri"/>
                <w:color w:val="964219"/>
                <w:sz w:val="18"/>
                <w:szCs w:val="18"/>
              </w:rPr>
              <w:t xml:space="preserve">accepted / not built</w:t>
            </w:r>
          </w:p>
        </w:tc>
        <w:tc>
          <w:tcPr>
            <w:shd w:fill="FFFFFF" w:val="solid"/>
            <w:tcMar>
              <w:top w:type="dxa" w:w="60"/>
              <w:left w:type="dxa" w:w="100"/>
              <w:bottom w:type="dxa" w:w="60"/>
              <w:right w:type="dxa" w:w="100"/>
            </w:tcMar>
          </w:tcPr>
          <w:p>
            <w:pPr>
              <w:jc w:val="left"/>
            </w:pPr>
            <w:r>
              <w:rPr>
                <w:rFonts w:ascii="Calibri" w:cs="Calibri" w:eastAsia="Calibri" w:hAnsi="Calibri"/>
                <w:color w:val="28251D"/>
                <w:sz w:val="18"/>
                <w:szCs w:val="18"/>
              </w:rPr>
              <w:t xml:space="preserve">Not affected by factory. SEC-CERT-R-001 through -004 still required</w:t>
            </w:r>
          </w:p>
        </w:tc>
        <w:tc>
          <w:tcPr>
            <w:shd w:fill="FFFFFF" w:val="solid"/>
            <w:tcMar>
              <w:top w:type="dxa" w:w="60"/>
              <w:left w:type="dxa" w:w="100"/>
              <w:bottom w:type="dxa" w:w="60"/>
              <w:right w:type="dxa" w:w="100"/>
            </w:tcMar>
          </w:tcPr>
          <w:p>
            <w:pPr>
              <w:jc w:val="left"/>
            </w:pPr>
            <w:r>
              <w:rPr>
                <w:rFonts w:ascii="Calibri" w:cs="Calibri" w:eastAsia="Calibri" w:hAnsi="Calibri"/>
                <w:color w:val="A12C7B"/>
                <w:sz w:val="18"/>
                <w:szCs w:val="18"/>
              </w:rPr>
              <w:t xml:space="preserve">Open — pre-launch blocker</w:t>
            </w:r>
          </w:p>
        </w:tc>
      </w:tr>
      <w:tr>
        <w:tc>
          <w:tcPr>
            <w:shd w:fill="FFFFFF" w:val="solid"/>
            <w:tcMar>
              <w:top w:type="dxa" w:w="60"/>
              <w:left w:type="dxa" w:w="100"/>
              <w:bottom w:type="dxa" w:w="60"/>
              <w:right w:type="dxa" w:w="100"/>
            </w:tcMar>
          </w:tcPr>
          <w:p>
            <w:pPr>
              <w:jc w:val="left"/>
            </w:pPr>
            <w:r>
              <w:rPr>
                <w:rFonts w:ascii="Calibri" w:cs="Calibri" w:eastAsia="Calibri" w:hAnsi="Calibri"/>
                <w:color w:val="1B474D"/>
                <w:sz w:val="18"/>
                <w:szCs w:val="18"/>
              </w:rPr>
              <w:t xml:space="preserve">UMLS-COMPLIANCE</w:t>
            </w:r>
          </w:p>
        </w:tc>
        <w:tc>
          <w:tcPr>
            <w:shd w:fill="FFFFFF" w:val="solid"/>
            <w:tcMar>
              <w:top w:type="dxa" w:w="60"/>
              <w:left w:type="dxa" w:w="100"/>
              <w:bottom w:type="dxa" w:w="60"/>
              <w:right w:type="dxa" w:w="100"/>
            </w:tcMar>
          </w:tcPr>
          <w:p>
            <w:pPr>
              <w:jc w:val="left"/>
            </w:pPr>
            <w:r>
              <w:rPr>
                <w:rFonts w:ascii="Calibri" w:cs="Calibri" w:eastAsia="Calibri" w:hAnsi="Calibri"/>
                <w:color w:val="28251D"/>
                <w:sz w:val="18"/>
                <w:szCs w:val="18"/>
              </w:rPr>
              <w:t xml:space="preserve">CPT audit, NLM notification, geo-fence</w:t>
            </w:r>
          </w:p>
        </w:tc>
        <w:tc>
          <w:tcPr>
            <w:shd w:fill="FFFFFF" w:val="solid"/>
            <w:tcMar>
              <w:top w:type="dxa" w:w="60"/>
              <w:left w:type="dxa" w:w="100"/>
              <w:bottom w:type="dxa" w:w="60"/>
              <w:right w:type="dxa" w:w="100"/>
            </w:tcMar>
          </w:tcPr>
          <w:p>
            <w:pPr>
              <w:jc w:val="left"/>
            </w:pPr>
            <w:r>
              <w:rPr>
                <w:rFonts w:ascii="Calibri" w:cs="Calibri" w:eastAsia="Calibri" w:hAnsi="Calibri"/>
                <w:color w:val="964219"/>
                <w:sz w:val="18"/>
                <w:szCs w:val="18"/>
              </w:rPr>
              <w:t xml:space="preserve">IN_PROGRESS</w:t>
            </w:r>
          </w:p>
        </w:tc>
        <w:tc>
          <w:tcPr>
            <w:shd w:fill="FFFFFF" w:val="solid"/>
            <w:tcMar>
              <w:top w:type="dxa" w:w="60"/>
              <w:left w:type="dxa" w:w="100"/>
              <w:bottom w:type="dxa" w:w="60"/>
              <w:right w:type="dxa" w:w="100"/>
            </w:tcMar>
          </w:tcPr>
          <w:p>
            <w:pPr>
              <w:jc w:val="left"/>
            </w:pPr>
            <w:r>
              <w:rPr>
                <w:rFonts w:ascii="Calibri" w:cs="Calibri" w:eastAsia="Calibri" w:hAnsi="Calibri"/>
                <w:color w:val="28251D"/>
                <w:sz w:val="18"/>
                <w:szCs w:val="18"/>
              </w:rPr>
              <w:t xml:space="preserve">Post-output ComplianceFacade wraps factory output; legal obligations unchanged</w:t>
            </w:r>
          </w:p>
        </w:tc>
        <w:tc>
          <w:tcPr>
            <w:shd w:fill="FFFFFF" w:val="solid"/>
            <w:tcMar>
              <w:top w:type="dxa" w:w="60"/>
              <w:left w:type="dxa" w:w="100"/>
              <w:bottom w:type="dxa" w:w="60"/>
              <w:right w:type="dxa" w:w="100"/>
            </w:tcMar>
          </w:tcPr>
          <w:p>
            <w:pPr>
              <w:jc w:val="left"/>
            </w:pPr>
            <w:r>
              <w:rPr>
                <w:rFonts w:ascii="Calibri" w:cs="Calibri" w:eastAsia="Calibri" w:hAnsi="Calibri"/>
                <w:color w:val="7A7974"/>
                <w:sz w:val="18"/>
                <w:szCs w:val="18"/>
              </w:rPr>
              <w:t xml:space="preserve">In progress — blocker</w:t>
            </w:r>
          </w:p>
        </w:tc>
      </w:tr>
      <w:tr>
        <w:tc>
          <w:tcPr>
            <w:shd w:fill="FFFFFF" w:val="solid"/>
            <w:tcMar>
              <w:top w:type="dxa" w:w="60"/>
              <w:left w:type="dxa" w:w="100"/>
              <w:bottom w:type="dxa" w:w="60"/>
              <w:right w:type="dxa" w:w="100"/>
            </w:tcMar>
          </w:tcPr>
          <w:p>
            <w:pPr>
              <w:jc w:val="left"/>
            </w:pPr>
            <w:r>
              <w:rPr>
                <w:rFonts w:ascii="Calibri" w:cs="Calibri" w:eastAsia="Calibri" w:hAnsi="Calibri"/>
                <w:color w:val="1B474D"/>
                <w:sz w:val="18"/>
                <w:szCs w:val="18"/>
              </w:rPr>
              <w:t xml:space="preserve">SAFETY-LOCKOUT</w:t>
            </w:r>
          </w:p>
        </w:tc>
        <w:tc>
          <w:tcPr>
            <w:shd w:fill="FFFFFF" w:val="solid"/>
            <w:tcMar>
              <w:top w:type="dxa" w:w="60"/>
              <w:left w:type="dxa" w:w="100"/>
              <w:bottom w:type="dxa" w:w="60"/>
              <w:right w:type="dxa" w:w="100"/>
            </w:tcMar>
          </w:tcPr>
          <w:p>
            <w:pPr>
              <w:jc w:val="left"/>
            </w:pPr>
            <w:r>
              <w:rPr>
                <w:rFonts w:ascii="Calibri" w:cs="Calibri" w:eastAsia="Calibri" w:hAnsi="Calibri"/>
                <w:color w:val="28251D"/>
                <w:sz w:val="18"/>
                <w:szCs w:val="18"/>
              </w:rPr>
              <w:t xml:space="preserve">Session lock, emergency lock, admin unlock</w:t>
            </w:r>
          </w:p>
        </w:tc>
        <w:tc>
          <w:tcPr>
            <w:shd w:fill="FFFFFF" w:val="solid"/>
            <w:tcMar>
              <w:top w:type="dxa" w:w="60"/>
              <w:left w:type="dxa" w:w="100"/>
              <w:bottom w:type="dxa" w:w="60"/>
              <w:right w:type="dxa" w:w="100"/>
            </w:tcMar>
          </w:tcPr>
          <w:p>
            <w:pPr>
              <w:jc w:val="left"/>
            </w:pPr>
            <w:r>
              <w:rPr>
                <w:rFonts w:ascii="Calibri" w:cs="Calibri" w:eastAsia="Calibri" w:hAnsi="Calibri"/>
                <w:color w:val="964219"/>
                <w:sz w:val="18"/>
                <w:szCs w:val="18"/>
              </w:rPr>
              <w:t xml:space="preserve">accepted / partial</w:t>
            </w:r>
          </w:p>
        </w:tc>
        <w:tc>
          <w:tcPr>
            <w:shd w:fill="FFFFFF" w:val="solid"/>
            <w:tcMar>
              <w:top w:type="dxa" w:w="60"/>
              <w:left w:type="dxa" w:w="100"/>
              <w:bottom w:type="dxa" w:w="60"/>
              <w:right w:type="dxa" w:w="100"/>
            </w:tcMar>
          </w:tcPr>
          <w:p>
            <w:pPr>
              <w:jc w:val="left"/>
            </w:pPr>
            <w:r>
              <w:rPr>
                <w:rFonts w:ascii="Calibri" w:cs="Calibri" w:eastAsia="Calibri" w:hAnsi="Calibri"/>
                <w:color w:val="28251D"/>
                <w:sz w:val="18"/>
                <w:szCs w:val="18"/>
              </w:rPr>
              <w:t xml:space="preserve">SafetyFacade owns lockout; base class consults before dispatch</w:t>
            </w:r>
          </w:p>
        </w:tc>
        <w:tc>
          <w:tcPr>
            <w:shd w:fill="FFFFFF" w:val="solid"/>
            <w:tcMar>
              <w:top w:type="dxa" w:w="60"/>
              <w:left w:type="dxa" w:w="100"/>
              <w:bottom w:type="dxa" w:w="60"/>
              <w:right w:type="dxa" w:w="100"/>
            </w:tcMar>
          </w:tcPr>
          <w:p>
            <w:pPr>
              <w:jc w:val="left"/>
            </w:pPr>
            <w:r>
              <w:rPr>
                <w:rFonts w:ascii="Calibri" w:cs="Calibri" w:eastAsia="Calibri" w:hAnsi="Calibri"/>
                <w:color w:val="437A22"/>
                <w:sz w:val="18"/>
                <w:szCs w:val="18"/>
              </w:rPr>
              <w:t xml:space="preserve">Design-resolved, impl pending</w:t>
            </w:r>
          </w:p>
        </w:tc>
      </w:tr>
      <w:tr>
        <w:tc>
          <w:tcPr>
            <w:shd w:fill="FFFFFF" w:val="solid"/>
            <w:tcMar>
              <w:top w:type="dxa" w:w="60"/>
              <w:left w:type="dxa" w:w="100"/>
              <w:bottom w:type="dxa" w:w="60"/>
              <w:right w:type="dxa" w:w="100"/>
            </w:tcMar>
          </w:tcPr>
          <w:p>
            <w:pPr>
              <w:jc w:val="left"/>
            </w:pPr>
            <w:r>
              <w:rPr>
                <w:rFonts w:ascii="Calibri" w:cs="Calibri" w:eastAsia="Calibri" w:hAnsi="Calibri"/>
                <w:color w:val="1B474D"/>
                <w:sz w:val="18"/>
                <w:szCs w:val="18"/>
              </w:rPr>
              <w:t xml:space="preserve">ARCH-GOV</w:t>
            </w:r>
          </w:p>
        </w:tc>
        <w:tc>
          <w:tcPr>
            <w:shd w:fill="FFFFFF" w:val="solid"/>
            <w:tcMar>
              <w:top w:type="dxa" w:w="60"/>
              <w:left w:type="dxa" w:w="100"/>
              <w:bottom w:type="dxa" w:w="60"/>
              <w:right w:type="dxa" w:w="100"/>
            </w:tcMar>
          </w:tcPr>
          <w:p>
            <w:pPr>
              <w:jc w:val="left"/>
            </w:pPr>
            <w:r>
              <w:rPr>
                <w:rFonts w:ascii="Calibri" w:cs="Calibri" w:eastAsia="Calibri" w:hAnsi="Calibri"/>
                <w:color w:val="28251D"/>
                <w:sz w:val="18"/>
                <w:szCs w:val="18"/>
              </w:rPr>
              <w:t xml:space="preserve">Governance rules for architecture</w:t>
            </w:r>
          </w:p>
        </w:tc>
        <w:tc>
          <w:tcPr>
            <w:shd w:fill="FFFFFF" w:val="solid"/>
            <w:tcMar>
              <w:top w:type="dxa" w:w="60"/>
              <w:left w:type="dxa" w:w="100"/>
              <w:bottom w:type="dxa" w:w="60"/>
              <w:right w:type="dxa" w:w="100"/>
            </w:tcMar>
          </w:tcPr>
          <w:p>
            <w:pPr>
              <w:jc w:val="left"/>
            </w:pPr>
            <w:r>
              <w:rPr>
                <w:rFonts w:ascii="Calibri" w:cs="Calibri" w:eastAsia="Calibri" w:hAnsi="Calibri"/>
                <w:color w:val="964219"/>
                <w:sz w:val="18"/>
                <w:szCs w:val="18"/>
              </w:rPr>
              <w:t xml:space="preserve">NOT_STARTED</w:t>
            </w:r>
          </w:p>
        </w:tc>
        <w:tc>
          <w:tcPr>
            <w:shd w:fill="FFFFFF" w:val="solid"/>
            <w:tcMar>
              <w:top w:type="dxa" w:w="60"/>
              <w:left w:type="dxa" w:w="100"/>
              <w:bottom w:type="dxa" w:w="60"/>
              <w:right w:type="dxa" w:w="100"/>
            </w:tcMar>
          </w:tcPr>
          <w:p>
            <w:pPr>
              <w:jc w:val="left"/>
            </w:pPr>
            <w:r>
              <w:rPr>
                <w:rFonts w:ascii="Calibri" w:cs="Calibri" w:eastAsia="Calibri" w:hAnsi="Calibri"/>
                <w:color w:val="28251D"/>
                <w:sz w:val="18"/>
                <w:szCs w:val="18"/>
              </w:rPr>
              <w:t xml:space="preserve">Facade-per-epic governance rules defined in this audit</w:t>
            </w:r>
          </w:p>
        </w:tc>
        <w:tc>
          <w:tcPr>
            <w:shd w:fill="FFFFFF" w:val="solid"/>
            <w:tcMar>
              <w:top w:type="dxa" w:w="60"/>
              <w:left w:type="dxa" w:w="100"/>
              <w:bottom w:type="dxa" w:w="60"/>
              <w:right w:type="dxa" w:w="100"/>
            </w:tcMar>
          </w:tcPr>
          <w:p>
            <w:pPr>
              <w:jc w:val="left"/>
            </w:pPr>
            <w:r>
              <w:rPr>
                <w:rFonts w:ascii="Calibri" w:cs="Calibri" w:eastAsia="Calibri" w:hAnsi="Calibri"/>
                <w:color w:val="7A7974"/>
                <w:sz w:val="18"/>
                <w:szCs w:val="18"/>
              </w:rPr>
              <w:t xml:space="preserve">Partially resolved — story still required</w:t>
            </w:r>
          </w:p>
        </w:tc>
      </w:tr>
    </w:tbl>
    <w:p>
      <w:pPr>
        <w:spacing w:after="160"/>
      </w:pPr>
      <w:r>
        <w:t xml:space="preserve"/>
      </w:r>
    </w:p>
    <w:p>
      <w:pPr>
        <w:pBdr>
          <w:top w:val="single" w:color="D4D1CA" w:sz="4"/>
        </w:pBdr>
        <w:spacing w:before="200"/>
        <w:jc w:val="center"/>
      </w:pPr>
      <w:r>
        <w:rPr>
          <w:rFonts w:ascii="Calibri" w:cs="Calibri" w:eastAsia="Calibri" w:hAnsi="Calibri"/>
          <w:i/>
          <w:iCs/>
          <w:color w:val="7A7974"/>
          <w:sz w:val="16"/>
          <w:szCs w:val="16"/>
        </w:rPr>
        <w:t xml:space="preserve">This audit was generated using the agreed external audit template. Replace DOCUMENT_EDITION with Final Word Edition or Board Review Draft as appropriate. Insert logo above title manually in Word.</w:t>
      </w:r>
    </w:p>
    <w:sectPr>
      <w:pgSz w:w="11906" w:h="16838" w:orient="portrait"/>
      <w:pgMar w:top="1440" w:right="1584" w:bottom="1440" w:left="158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8251D"/>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2026-04-15T02:26:58.904Z</dcterms:created>
  <dcterms:modified xsi:type="dcterms:W3CDTF">2026-04-15T02:26:58.905Z</dcterms:modified>
</cp:coreProperties>
</file>

<file path=docProps/custom.xml><?xml version="1.0" encoding="utf-8"?>
<Properties xmlns="http://schemas.openxmlformats.org/officeDocument/2006/custom-properties" xmlns:vt="http://schemas.openxmlformats.org/officeDocument/2006/docPropsVTypes"/>
</file>