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SharedServices Duplication Audit - Control Frame Move</w:t>
      </w:r>
    </w:p>
    <w:p>
      <w:pPr>
        <w:jc w:val="left"/>
      </w:pPr>
      <w:r>
        <w:t>Scope: EPIC-002 (Security And Shared Services), features F-001 through F-013. Source of truth: brain/machine_artifacts/content/agile_backlog.json. Date: 2026-08-30. Read-only analysis; no file was modified.</w:t>
      </w:r>
    </w:p>
    <w:p>
      <w:pPr>
        <w:pStyle w:val="Heading1"/>
      </w:pPr>
      <w:r>
        <w:t>Verdict</w:t>
      </w:r>
    </w:p>
    <w:p>
      <w:r>
        <w:t>Duplication found, but it is narrow. Of the eleven requirements carried into EPIC-002 by the move of the Control Frame feature (now EPIC-002-F-013), exactly one is already stated in substance by another EPIC-002 feature: the mobile rows-per-page limit, stated identically by EPIC-002-F-013-S-002-REQ-B-002 and by EPIC-002-F-008-S-004-REQ-B-002. The other ten F-013 requirements have no substantive counterpart anywhere in EPIC-002. The originating feature EPIC-006-F-024 no longer exists in the backlog, so the move left no residual copy of the eleven requirements in EPIC-006. Three further overlaps are recorded below as adjacencies rather than duplicates: they place related mandates in more than one feature without mandating the same behaviour twice, and the report states explicitly why each falls short of duplication.</w:t>
      </w:r>
    </w:p>
    <w:p>
      <w:pPr>
        <w:pStyle w:val="Heading1"/>
      </w:pPr>
      <w:r>
        <w:t>Duplicate pairs</w:t>
      </w:r>
    </w:p>
    <w:p>
      <w:r>
        <w:t>One pair. Both requirements are approval=approved and status=not_started.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 A</w:t>
            </w:r>
          </w:p>
        </w:tc>
        <w:tc>
          <w:tcPr>
            <w:tcW w:type="dxa" w:w="2160"/>
          </w:tcPr>
          <w:p>
            <w:r>
              <w:rPr>
                <w:b/>
              </w:rPr>
              <w:t>Text A</w:t>
            </w:r>
          </w:p>
        </w:tc>
        <w:tc>
          <w:tcPr>
            <w:tcW w:type="dxa" w:w="2160"/>
          </w:tcPr>
          <w:p>
            <w:r>
              <w:rPr>
                <w:b/>
              </w:rPr>
              <w:t>Requirement B</w:t>
            </w:r>
          </w:p>
        </w:tc>
        <w:tc>
          <w:tcPr>
            <w:tcW w:type="dxa" w:w="2160"/>
          </w:tcPr>
          <w:p>
            <w:r>
              <w:rPr>
                <w:b/>
              </w:rPr>
              <w:t>Text B</w:t>
            </w:r>
          </w:p>
        </w:tc>
      </w:tr>
      <w:tr>
        <w:tc>
          <w:tcPr>
            <w:tcW w:type="dxa" w:w="2160"/>
          </w:tcPr>
          <w:p>
            <w:r>
              <w:t>EPIC-002-F-013-S-002-REQ-B-002</w:t>
              <w:br/>
              <w:t>(name: Limit mobile display to maximum 5 rows per page)</w:t>
            </w:r>
          </w:p>
        </w:tc>
        <w:tc>
          <w:tcPr>
            <w:tcW w:type="dxa" w:w="2160"/>
          </w:tcPr>
          <w:p>
            <w:r>
              <w:t>"Mobile displays max 5 rows per page"</w:t>
            </w:r>
          </w:p>
        </w:tc>
        <w:tc>
          <w:tcPr>
            <w:tcW w:type="dxa" w:w="2160"/>
          </w:tcPr>
          <w:p>
            <w:r>
              <w:t>EPIC-002-F-008-S-004-REQ-B-002</w:t>
              <w:br/>
              <w:t>(name: Limit mobile pagination to 5 rows per page per design.json responsive spec)</w:t>
            </w:r>
          </w:p>
        </w:tc>
        <w:tc>
          <w:tcPr>
            <w:tcW w:type="dxa" w:w="2160"/>
          </w:tcPr>
          <w:p>
            <w:r>
              <w:t>"Max 5 rows per page on mobile (design.json responsive spec)"</w:t>
            </w:r>
          </w:p>
        </w:tc>
      </w:tr>
    </w:tbl>
    <w:p/>
    <w:p>
      <w:pPr>
        <w:pStyle w:val="Heading2"/>
      </w:pPr>
      <w:r>
        <w:t>Which one survives, and why</w:t>
      </w:r>
    </w:p>
    <w:p>
      <w:pPr>
        <w:pStyle w:val="ListBullet"/>
      </w:pPr>
      <w:r>
        <w:t>EPIC-002-F-013-S-002-REQ-B-002 should survive; EPIC-002-F-008-S-004-REQ-B-002 should be withdrawn and, if the design.json citation is worth keeping, folded into the surviving text.</w:t>
      </w:r>
    </w:p>
    <w:p>
      <w:pPr>
        <w:pStyle w:val="ListBullet"/>
      </w:pPr>
      <w:r>
        <w:t>Reason: the rows-per-page limit is one rule with two values - EPIC-002-F-013-S-002-REQ-B-001 states "PC displays max 20 rows per page" and REQ-B-002 states the mobile value. Story EPIC-002-F-013-S-002 ("Responsive rows per page") is the only place in the backlog where both halves of that rule sit together. Keeping the mobile half in the mobile feature splits one page-size rule across two features, so a future change to page size would have to be made in two places to stay consistent.</w:t>
      </w:r>
    </w:p>
    <w:p>
      <w:pPr>
        <w:pStyle w:val="ListBullet"/>
      </w:pPr>
      <w:r>
        <w:t>The surviving requirement should absorb the parenthetical source citation carried only by the F-008 text ("design.json responsive spec"), so retiring F-008-S-004-REQ-B-002 loses no information.</w:t>
      </w:r>
    </w:p>
    <w:p>
      <w:pPr>
        <w:pStyle w:val="Heading1"/>
      </w:pPr>
      <w:r>
        <w:t>Adjacencies examined and rejected as duplicates</w:t>
      </w:r>
    </w:p>
    <w:p>
      <w:r>
        <w:t>Each of the following was inspected because the move brought it into view. None mandates the same behaviour as an F-013 requirement, so none is reported as a duplicate. They are recorded because each places governance of one screen object in more than one feature.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Requirements involved</w:t>
            </w:r>
          </w:p>
        </w:tc>
        <w:tc>
          <w:tcPr>
            <w:tcW w:type="dxa" w:w="2880"/>
          </w:tcPr>
          <w:p>
            <w:r>
              <w:rPr>
                <w:b/>
              </w:rPr>
              <w:t>What each actually says</w:t>
            </w:r>
          </w:p>
        </w:tc>
        <w:tc>
          <w:tcPr>
            <w:tcW w:type="dxa" w:w="2880"/>
          </w:tcPr>
          <w:p>
            <w:r>
              <w:rPr>
                <w:b/>
              </w:rPr>
              <w:t>Why it is not a duplicate</w:t>
            </w:r>
          </w:p>
        </w:tc>
      </w:tr>
      <w:tr>
        <w:tc>
          <w:tcPr>
            <w:tcW w:type="dxa" w:w="2880"/>
          </w:tcPr>
          <w:p>
            <w:r>
              <w:t>EPIC-002-F-008-S-004-REQ-B-001 and EPIC-002-F-013-S-001-REQ-B-006</w:t>
            </w:r>
          </w:p>
        </w:tc>
        <w:tc>
          <w:tcPr>
            <w:tcW w:type="dxa" w:w="2880"/>
          </w:tcPr>
          <w:p>
            <w:r>
              <w:t>F-008-S-004-REQ-B-001: "Pagination buttons have minimum 44x44px touch target (Apple HIG)". F-013-S-001-REQ-B-006: "Buttons use 3D raised style: cold gray at rest, warm gray when pressed, inset shadow on mouse down".</w:t>
            </w:r>
          </w:p>
        </w:tc>
        <w:tc>
          <w:tcPr>
            <w:tcW w:type="dxa" w:w="2880"/>
          </w:tcPr>
          <w:p>
            <w:r>
              <w:t>Both govern the appearance of the same pagination buttons, but one fixes a minimum hit area and the other fixes a visual treatment. Different mandated outcomes. Note only that story EPIC-002-F-008-S-004 is titled "Pagination controls touch-friendly", so pagination-control governance now sits in two EPIC-002 features.</w:t>
            </w:r>
          </w:p>
        </w:tc>
      </w:tr>
      <w:tr>
        <w:tc>
          <w:tcPr>
            <w:tcW w:type="dxa" w:w="2880"/>
          </w:tcPr>
          <w:p>
            <w:r>
              <w:t>EPIC-002-F-011-S-001-REQ-B-004 and the EPIC-002-F-013 feature description</w:t>
            </w:r>
          </w:p>
        </w:tc>
        <w:tc>
          <w:tcPr>
            <w:tcW w:type="dxa" w:w="2880"/>
          </w:tcPr>
          <w:p>
            <w:r>
              <w:t>F-011-S-001-REQ-B-004 (status done): "Control frame is 7% of center column height and always visible (blank canvas when no controls)". The F-013 feature description opens: "7% control frame canvas that renders pagination and filter controls on demand."</w:t>
            </w:r>
          </w:p>
        </w:tc>
        <w:tc>
          <w:tcPr>
            <w:tcW w:type="dxa" w:w="2880"/>
          </w:tcPr>
          <w:p>
            <w:r>
              <w:t>The 7% geometry is stated as a requirement exactly once, in F-011. F-013 restates it only in its feature description prose, which is not a requirement. No requirement-level duplication. The two are also consistent: F-011 keeps the frame present while F-013-S-001-REQ-B-005 removes only the controls within it.</w:t>
            </w:r>
          </w:p>
        </w:tc>
      </w:tr>
      <w:tr>
        <w:tc>
          <w:tcPr>
            <w:tcW w:type="dxa" w:w="2880"/>
          </w:tcPr>
          <w:p>
            <w:r>
              <w:t>EPIC-002-F-013-S-001-REQ-B-005 and EPIC-002-F-013-S-003-REQ-B-003</w:t>
            </w:r>
          </w:p>
        </w:tc>
        <w:tc>
          <w:tcPr>
            <w:tcW w:type="dxa" w:w="2880"/>
          </w:tcPr>
          <w:p>
            <w:r>
              <w:t>S-001-REQ-B-005: "User sends new chat message - controls disappear and pagination state is cleared". S-003-REQ-B-003: "Button disappears when user sends a new chat message (same lifecycle as pagination controls)".</w:t>
            </w:r>
          </w:p>
        </w:tc>
        <w:tc>
          <w:tcPr>
            <w:tcW w:type="dxa" w:w="2880"/>
          </w:tcPr>
          <w:p>
            <w:r>
              <w:t>Same triggering event and same clearing behaviour, applied to two different objects (the pagination controls, and the Evaluate button). This is internal to F-013 and was not created by the move. The second text names the first as its lifecycle authority, so it is a dependent statement rather than an independent restatement. It is a candidate for consolidation into one control-frame clearing rule, but that is an operator decision, not an audit finding.</w:t>
            </w:r>
          </w:p>
        </w:tc>
      </w:tr>
      <w:tr>
        <w:tc>
          <w:tcPr>
            <w:tcW w:type="dxa" w:w="2880"/>
          </w:tcPr>
          <w:p>
            <w:r>
              <w:t>EPIC-002-F-013-S-003-REQ-B-001 and EPIC-006-F-003-S-001-REQ-B-001 (cross-epic)</w:t>
            </w:r>
          </w:p>
        </w:tc>
        <w:tc>
          <w:tcPr>
            <w:tcW w:type="dxa" w:w="2880"/>
          </w:tcPr>
          <w:p>
            <w:r>
              <w:t>F-013-S-003-REQ-B-001: "An 'Evaluate these providers' button appears in guiControlFrame when provider search results are displayed". EPIC-006-F-003-S-001-REQ-B-001: "Evaluate These Providers button is positioned to the right of the cursor control bar."</w:t>
            </w:r>
          </w:p>
        </w:tc>
        <w:tc>
          <w:tcPr>
            <w:tcW w:type="dxa" w:w="2880"/>
          </w:tcPr>
          <w:p>
            <w:r>
              <w:t>Outside the EPIC-002 scope of this audit, but reported because it is the one place where the move left the same physical button governed from two epics. The two statements are not the same mandate - one fixes when the button appears and in which frame, the other fixes its position relative to the cursor control bar - and the file does not establish that guiControlFrame and "right of the cursor control bar" name the same location. Placement of one button is therefore mandated in two epics without either text referring to the other. This warrants operator adjudication; it is not reported as duplication.</w:t>
            </w:r>
          </w:p>
        </w:tc>
      </w:tr>
    </w:tbl>
    <w:p>
      <w:pPr>
        <w:pStyle w:val="Heading1"/>
      </w:pPr>
      <w:r>
        <w:t>Coverage and one data observation</w:t>
      </w:r>
    </w:p>
    <w:p>
      <w:r>
        <w:t>Every requirement in EPIC-002 features F-001 through F-013 was enumerated and read. F-009 (Native Mobile Apps) carries no stories. Within F-005, stories S-002, S-003, S-004, S-005, S-011 and S-012 carry no requirements. Within F-003, story S-001 carries no requirements, and within F-006, story S-003 carries none.</w:t>
      </w:r>
    </w:p>
    <w:p>
      <w:r>
        <w:t>Observation, unrelated to duplication: the four requirements under EPIC-002-F-007-S-001 (Anchor Timer) carry no req_id field at all, are marked orphan=true, and their approval value is "proposed" rather than "approved". They were read in full and none duplicates an F-013 requirement. Their identifier state is reported as a fact of the file, not as an audit finding.</w:t>
      </w:r>
    </w:p>
    <w:p>
      <w:pPr>
        <w:pStyle w:val="Heading1"/>
      </w:pPr>
      <w:r>
        <w:t>Recommendation</w:t>
      </w:r>
    </w:p>
    <w:p>
      <w:pPr>
        <w:pStyle w:val="ListNumber"/>
      </w:pPr>
      <w:r>
        <w:t>Retire EPIC-002-F-008-S-004-REQ-B-002 and let EPIC-002-F-013-S-002-REQ-B-002 stand as the single statement of the mobile rows-per-page limit, first amending the surviving text to carry the design.json citation the retired text holds.</w:t>
      </w:r>
    </w:p>
    <w:p>
      <w:pPr>
        <w:pStyle w:val="ListNumber"/>
      </w:pPr>
      <w:r>
        <w:t>Decide where pagination-button ergonomics belong. EPIC-002-F-008-S-004-REQ-B-001 (44x44px touch target) is not a duplicate, but with its sibling requirement retired it would be the last requirement in a story titled "Pagination controls touch-friendly" whose subject matter now lives in F-013. Either move it to EPIC-002-F-013-S-001 alongside the button-style requirement, or leave it and accept that pagination buttons are governed from two features.</w:t>
      </w:r>
    </w:p>
    <w:p>
      <w:pPr>
        <w:pStyle w:val="ListNumber"/>
      </w:pPr>
      <w:r>
        <w:t>Adjudicate the Evaluate-button placement across EPIC-002-F-013-S-003-REQ-B-001 and EPIC-006-F-003-S-001-REQ-B-001. Establish whether the two texts describe one location or two, and make one of them the single placement authority with the other referring to it.</w:t>
      </w:r>
    </w:p>
    <w:p>
      <w:pPr>
        <w:pStyle w:val="ListNumber"/>
      </w:pPr>
      <w:r>
        <w:t>Consider consolidating EPIC-002-F-013-S-001-REQ-B-005 and EPIC-002-F-013-S-003-REQ-B-003 into one control-frame clearing rule that both control types inherit, rather than one rule and one text that points at it.</w:t>
      </w:r>
    </w:p>
    <w:p>
      <w:pPr>
        <w:pStyle w:val="ListNumber"/>
      </w:pPr>
      <w:r>
        <w:t>Take no action on the remaining nine F-013 requirements. They are stated once, in F-013, and nowhere else in EPIC-002.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