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79215" w14:textId="77777777" w:rsidR="002237F5" w:rsidRDefault="00000000">
      <w:pPr>
        <w:spacing w:before="157" w:after="157" w:line="270" w:lineRule="auto"/>
      </w:pPr>
      <w:bookmarkStart w:id="0" w:name="provider_pipeline_lld_audit_findings"/>
      <w:r>
        <w:rPr>
          <w:rFonts w:ascii="source serif 4" w:eastAsia="source serif 4" w:hAnsi="source serif 4" w:cs="source serif 4"/>
          <w:b/>
          <w:color w:val="000000"/>
          <w:sz w:val="39"/>
        </w:rPr>
        <w:t>Provider Pipeline LLD Audit Findings</w:t>
      </w:r>
      <w:bookmarkEnd w:id="0"/>
    </w:p>
    <w:p w14:paraId="17EC104A" w14:textId="77777777" w:rsidR="002237F5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document contains the selected formal audit findings from the review of the Provider Pipeline Low-Level Design, contextualized against the attached EPIC-010 requirements digest and limited to the findings retained for </w:t>
      </w:r>
      <w:proofErr w:type="gramStart"/>
      <w:r>
        <w:rPr>
          <w:rFonts w:ascii="source serif 4" w:eastAsia="source serif 4" w:hAnsi="source serif 4" w:cs="source serif 4"/>
          <w:color w:val="000000"/>
        </w:rPr>
        <w:t>export.[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</w:t>
      </w:r>
      <w:proofErr w:type="gramStart"/>
      <w:r>
        <w:rPr>
          <w:rFonts w:ascii="source serif 4" w:eastAsia="source serif 4" w:hAnsi="source serif 4" w:cs="source serif 4"/>
          <w:color w:val="000000"/>
        </w:rPr>
        <w:t>1][</w:t>
      </w:r>
      <w:proofErr w:type="gramEnd"/>
      <w:r>
        <w:rPr>
          <w:rFonts w:ascii="source serif 4" w:eastAsia="source serif 4" w:hAnsi="source serif 4" w:cs="source serif 4"/>
          <w:color w:val="000000"/>
        </w:rPr>
        <w:t>file:2]</w:t>
      </w:r>
    </w:p>
    <w:p w14:paraId="5639A67F" w14:textId="77777777" w:rsidR="002237F5" w:rsidRDefault="00000000">
      <w:pPr>
        <w:spacing w:before="315" w:after="105" w:line="360" w:lineRule="auto"/>
        <w:ind w:left="-30"/>
      </w:pPr>
      <w:bookmarkStart w:id="1" w:name="finding_1_county_enrichment_cost_2a47d4"/>
      <w:r>
        <w:rPr>
          <w:rFonts w:ascii="source serif 4" w:eastAsia="source serif 4" w:hAnsi="source serif 4" w:cs="source serif 4"/>
          <w:b/>
          <w:color w:val="000000"/>
          <w:sz w:val="24"/>
        </w:rPr>
        <w:t>Finding 1 – County enrichment cost-order defect</w:t>
      </w:r>
      <w:bookmarkEnd w:id="1"/>
    </w:p>
    <w:p w14:paraId="7CB53824" w14:textId="77777777" w:rsidR="002237F5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Severity:</w:t>
      </w:r>
      <w:r>
        <w:rPr>
          <w:rFonts w:ascii="source serif 4" w:eastAsia="source serif 4" w:hAnsi="source serif 4" w:cs="source serif 4"/>
          <w:color w:val="000000"/>
        </w:rPr>
        <w:t xml:space="preserve"> Critical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Type:</w:t>
      </w:r>
      <w:r>
        <w:rPr>
          <w:rFonts w:ascii="source serif 4" w:eastAsia="source serif 4" w:hAnsi="source serif 4" w:cs="source serif 4"/>
          <w:color w:val="000000"/>
        </w:rPr>
        <w:t xml:space="preserve"> Design/code mismatch vs requirement</w:t>
      </w:r>
    </w:p>
    <w:p w14:paraId="4F37AD65" w14:textId="77777777" w:rsidR="002237F5" w:rsidRDefault="00000000">
      <w:pPr>
        <w:spacing w:before="315" w:after="105" w:line="360" w:lineRule="auto"/>
        <w:ind w:left="-30"/>
      </w:pPr>
      <w:bookmarkStart w:id="2" w:name="description"/>
      <w:r>
        <w:rPr>
          <w:rFonts w:ascii="source serif 4" w:eastAsia="source serif 4" w:hAnsi="source serif 4" w:cs="source serif 4"/>
          <w:b/>
          <w:color w:val="000000"/>
          <w:sz w:val="24"/>
        </w:rPr>
        <w:t>Description</w:t>
      </w:r>
      <w:bookmarkEnd w:id="2"/>
    </w:p>
    <w:p w14:paraId="2603E052" w14:textId="77777777" w:rsidR="002237F5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EPIC-010 requires county enrichment to use a cost-ordered escalation path in which free and authoritative methods are exhausted before paid services are used.[file:1] The low-level design correctly identifies that the current county-enrichment code path uses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zipcrosswalk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-&gt;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censusbatch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-&gt;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googlemaps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-&gt;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nppesregistry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and explicitly states that this is a defect because Google Maps is paid while NPPES registry is free.[file:2] The same section then states that the correct normative sequence is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zipcrosswalk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-&gt;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censusbatch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-&gt;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nppesregistry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-&gt;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googlemaps</w:t>
      </w:r>
      <w:proofErr w:type="spellEnd"/>
      <w:r>
        <w:rPr>
          <w:rFonts w:ascii="source serif 4" w:eastAsia="source serif 4" w:hAnsi="source serif 4" w:cs="source serif 4"/>
          <w:color w:val="000000"/>
        </w:rPr>
        <w:t>, but the design still preserves enough discussion of the incorrect current order that an implementer could misread it as tolerated behavior rather than a mandatory correction.[file:2]</w:t>
      </w:r>
    </w:p>
    <w:p w14:paraId="7DC18174" w14:textId="77777777" w:rsidR="002237F5" w:rsidRDefault="00000000">
      <w:pPr>
        <w:spacing w:before="315" w:after="105" w:line="360" w:lineRule="auto"/>
        <w:ind w:left="-30"/>
      </w:pPr>
      <w:bookmarkStart w:id="3" w:name="impact"/>
      <w:r>
        <w:rPr>
          <w:rFonts w:ascii="source serif 4" w:eastAsia="source serif 4" w:hAnsi="source serif 4" w:cs="source serif 4"/>
          <w:b/>
          <w:color w:val="000000"/>
          <w:sz w:val="24"/>
        </w:rPr>
        <w:t>Impact</w:t>
      </w:r>
      <w:bookmarkEnd w:id="3"/>
    </w:p>
    <w:p w14:paraId="03902CEA" w14:textId="77777777" w:rsidR="002237F5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creates direct nonconformance with EPIC-010-F-004-S-005-REQ-B-002, which requires cost-ordered escalation with recorded </w:t>
      </w:r>
      <w:proofErr w:type="gramStart"/>
      <w:r>
        <w:rPr>
          <w:rFonts w:ascii="source serif 4" w:eastAsia="source serif 4" w:hAnsi="source serif 4" w:cs="source serif 4"/>
          <w:color w:val="000000"/>
        </w:rPr>
        <w:t>provenance.[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file:1]</w:t>
      </w:r>
    </w:p>
    <w:p w14:paraId="4D17C487" w14:textId="77777777" w:rsidR="002237F5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It also creates unnecessary paid API exposure and weakens the broader EPIC-010 cost-governance model under F-001-S-002, which requires measured cost parity and per-run </w:t>
      </w:r>
      <w:proofErr w:type="gramStart"/>
      <w:r>
        <w:rPr>
          <w:rFonts w:ascii="source serif 4" w:eastAsia="source serif 4" w:hAnsi="source serif 4" w:cs="source serif 4"/>
          <w:color w:val="000000"/>
        </w:rPr>
        <w:t>cost driver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</w:t>
      </w:r>
      <w:proofErr w:type="gramStart"/>
      <w:r>
        <w:rPr>
          <w:rFonts w:ascii="source serif 4" w:eastAsia="source serif 4" w:hAnsi="source serif 4" w:cs="source serif 4"/>
          <w:color w:val="000000"/>
        </w:rPr>
        <w:t>control.[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</w:t>
      </w:r>
      <w:proofErr w:type="gramStart"/>
      <w:r>
        <w:rPr>
          <w:rFonts w:ascii="source serif 4" w:eastAsia="source serif 4" w:hAnsi="source serif 4" w:cs="source serif 4"/>
          <w:color w:val="000000"/>
        </w:rPr>
        <w:t>1][</w:t>
      </w:r>
      <w:proofErr w:type="gramEnd"/>
      <w:r>
        <w:rPr>
          <w:rFonts w:ascii="source serif 4" w:eastAsia="source serif 4" w:hAnsi="source serif 4" w:cs="source serif 4"/>
          <w:color w:val="000000"/>
        </w:rPr>
        <w:t>file:2]</w:t>
      </w:r>
    </w:p>
    <w:p w14:paraId="23DB5FBD" w14:textId="77777777" w:rsidR="002237F5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Because county enrichment is one of the largest volume enrichment paths in the provider pipeline, preserving the wrong order would materially distort run-cost assumptions and production operating </w:t>
      </w:r>
      <w:proofErr w:type="gramStart"/>
      <w:r>
        <w:rPr>
          <w:rFonts w:ascii="source serif 4" w:eastAsia="source serif 4" w:hAnsi="source serif 4" w:cs="source serif 4"/>
          <w:color w:val="000000"/>
        </w:rPr>
        <w:t>bands.[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file:2]</w:t>
      </w:r>
    </w:p>
    <w:p w14:paraId="31F49055" w14:textId="77777777" w:rsidR="002237F5" w:rsidRDefault="00000000">
      <w:pPr>
        <w:spacing w:before="315" w:after="105" w:line="360" w:lineRule="auto"/>
        <w:ind w:left="-30"/>
      </w:pPr>
      <w:bookmarkStart w:id="4" w:name="recommendation"/>
      <w:r>
        <w:rPr>
          <w:rFonts w:ascii="source serif 4" w:eastAsia="source serif 4" w:hAnsi="source serif 4" w:cs="source serif 4"/>
          <w:b/>
          <w:color w:val="000000"/>
          <w:sz w:val="24"/>
        </w:rPr>
        <w:t>Recommendation</w:t>
      </w:r>
      <w:bookmarkEnd w:id="4"/>
    </w:p>
    <w:p w14:paraId="0E51C8FA" w14:textId="77777777" w:rsidR="002237F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Revise section 4.13 so the required sequence appears as the only normative runtime order: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zipcrosswalk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-&gt;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censusbatch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-&gt;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nppesregistry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-&gt;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googlemaps</w:t>
      </w:r>
      <w:proofErr w:type="spellEnd"/>
      <w:r>
        <w:rPr>
          <w:rFonts w:ascii="source serif 4" w:eastAsia="source serif 4" w:hAnsi="source serif 4" w:cs="source serif 4"/>
          <w:color w:val="000000"/>
        </w:rPr>
        <w:t>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file:2]</w:t>
      </w:r>
    </w:p>
    <w:p w14:paraId="7297C5DB" w14:textId="77777777" w:rsidR="002237F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Move the discussion of the current incorrect order into a clearly labeled “known defect being corrected” note so it cannot be mistaken for acceptable implementation </w:t>
      </w:r>
      <w:proofErr w:type="gramStart"/>
      <w:r>
        <w:rPr>
          <w:rFonts w:ascii="source serif 4" w:eastAsia="source serif 4" w:hAnsi="source serif 4" w:cs="source serif 4"/>
          <w:color w:val="000000"/>
        </w:rPr>
        <w:t>latitude.[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file:2]</w:t>
      </w:r>
    </w:p>
    <w:p w14:paraId="438E54C0" w14:textId="77777777" w:rsidR="002237F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Add an explicit implementation directive that the county-enrichment worker must be refactored to enforce the corrected order before the PAM migration is considered </w:t>
      </w:r>
      <w:proofErr w:type="gramStart"/>
      <w:r>
        <w:rPr>
          <w:rFonts w:ascii="source serif 4" w:eastAsia="source serif 4" w:hAnsi="source serif 4" w:cs="source serif 4"/>
          <w:color w:val="000000"/>
        </w:rPr>
        <w:t>complete.[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file:2]</w:t>
      </w:r>
    </w:p>
    <w:p w14:paraId="46561CB2" w14:textId="77777777" w:rsidR="002237F5" w:rsidRDefault="00000000">
      <w:pPr>
        <w:spacing w:before="315" w:after="105" w:line="360" w:lineRule="auto"/>
        <w:ind w:left="-30"/>
      </w:pPr>
      <w:bookmarkStart w:id="5" w:name="finding_2_institutional_isdisqual_58790b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Finding 2 – Institutional </w:t>
      </w:r>
      <w:proofErr w:type="spellStart"/>
      <w:r>
        <w:rPr>
          <w:rStyle w:val="VerbatimChar"/>
          <w:rFonts w:ascii="source serif 4" w:eastAsia="source serif 4" w:hAnsi="source serif 4" w:cs="source serif 4"/>
          <w:b/>
          <w:color w:val="000000"/>
          <w:sz w:val="24"/>
          <w:shd w:val="clear" w:color="auto" w:fill="F8F8FA"/>
        </w:rPr>
        <w:t>isdisqualified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semantics conflict</w:t>
      </w:r>
      <w:bookmarkEnd w:id="5"/>
    </w:p>
    <w:p w14:paraId="7097B56C" w14:textId="77777777" w:rsidR="002237F5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Severity:</w:t>
      </w:r>
      <w:r>
        <w:rPr>
          <w:rFonts w:ascii="source serif 4" w:eastAsia="source serif 4" w:hAnsi="source serif 4" w:cs="source serif 4"/>
          <w:color w:val="000000"/>
        </w:rPr>
        <w:t xml:space="preserve"> High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Type:</w:t>
      </w:r>
      <w:r>
        <w:rPr>
          <w:rFonts w:ascii="source serif 4" w:eastAsia="source serif 4" w:hAnsi="source serif 4" w:cs="source serif 4"/>
          <w:color w:val="000000"/>
        </w:rPr>
        <w:t xml:space="preserve"> Requirement/design conflict</w:t>
      </w:r>
    </w:p>
    <w:p w14:paraId="0717EB7F" w14:textId="77777777" w:rsidR="002237F5" w:rsidRDefault="00000000">
      <w:pPr>
        <w:spacing w:before="315" w:after="105" w:line="360" w:lineRule="auto"/>
        <w:ind w:left="-30"/>
      </w:pPr>
      <w:bookmarkStart w:id="6" w:name="description_2"/>
      <w:r>
        <w:rPr>
          <w:rFonts w:ascii="source serif 4" w:eastAsia="source serif 4" w:hAnsi="source serif 4" w:cs="source serif 4"/>
          <w:b/>
          <w:color w:val="000000"/>
          <w:sz w:val="24"/>
        </w:rPr>
        <w:t>Description</w:t>
      </w:r>
      <w:bookmarkEnd w:id="6"/>
    </w:p>
    <w:p w14:paraId="3BB212F8" w14:textId="77777777" w:rsidR="002237F5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The requirements digest states under EPIC-010-F-004-S-007-REQ-B-003 that institutional providers are always stamped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isdisqualified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= false</w:t>
      </w:r>
      <w:r>
        <w:rPr>
          <w:rFonts w:ascii="source serif 4" w:eastAsia="source serif 4" w:hAnsi="source serif 4" w:cs="source serif 4"/>
          <w:color w:val="000000"/>
        </w:rPr>
        <w:t xml:space="preserve">.[file:1] The low-level design, however, states in the Type-2 institutional flow that institutional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isdisqualified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is computed from taxonomy semantics, becoming true when no taxonomy on the record maps to a licensed clinical role or when the record lacks taxonomy evidence entirely.[file:2] This is a direct semantic conflict between the governing requirement text and the proposed implementation behavior.[file:1][file:2]</w:t>
      </w:r>
    </w:p>
    <w:p w14:paraId="398E97E6" w14:textId="77777777" w:rsidR="002237F5" w:rsidRDefault="00000000">
      <w:pPr>
        <w:spacing w:before="315" w:after="105" w:line="360" w:lineRule="auto"/>
        <w:ind w:left="-30"/>
      </w:pPr>
      <w:bookmarkStart w:id="7" w:name="impact_2"/>
      <w:r>
        <w:rPr>
          <w:rFonts w:ascii="source serif 4" w:eastAsia="source serif 4" w:hAnsi="source serif 4" w:cs="source serif 4"/>
          <w:b/>
          <w:color w:val="000000"/>
          <w:sz w:val="24"/>
        </w:rPr>
        <w:t>Impact</w:t>
      </w:r>
      <w:bookmarkEnd w:id="7"/>
    </w:p>
    <w:p w14:paraId="2E662A4C" w14:textId="77777777" w:rsidR="002237F5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The design currently does not provide a single authoritative rule for institutional disqualification, which creates a high risk of inconsistent downstream interpretation by FindCare, EvaluateCare, analytics, and future sibling </w:t>
      </w:r>
      <w:proofErr w:type="gramStart"/>
      <w:r>
        <w:rPr>
          <w:rFonts w:ascii="source serif 4" w:eastAsia="source serif 4" w:hAnsi="source serif 4" w:cs="source serif 4"/>
          <w:color w:val="000000"/>
        </w:rPr>
        <w:t>pipelines.[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file:2]</w:t>
      </w:r>
    </w:p>
    <w:p w14:paraId="207173FD" w14:textId="77777777" w:rsidR="002237F5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Tests and regression assertions may pass against one interpretation while the business believes another interpretation is in force, which would create avoidable production ambiguity around institutional filtering and </w:t>
      </w:r>
      <w:proofErr w:type="gramStart"/>
      <w:r>
        <w:rPr>
          <w:rFonts w:ascii="source serif 4" w:eastAsia="source serif 4" w:hAnsi="source serif 4" w:cs="source serif 4"/>
          <w:color w:val="000000"/>
        </w:rPr>
        <w:t>presentation.[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file:2]</w:t>
      </w:r>
    </w:p>
    <w:p w14:paraId="3B7B643D" w14:textId="77777777" w:rsidR="002237F5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Because the LLD frames the implementation as requirement-anchored, leaving this conflict unresolved would make requirement traceability unreliable in one of the most visible runtime classification </w:t>
      </w:r>
      <w:proofErr w:type="gramStart"/>
      <w:r>
        <w:rPr>
          <w:rFonts w:ascii="source serif 4" w:eastAsia="source serif 4" w:hAnsi="source serif 4" w:cs="source serif 4"/>
          <w:color w:val="000000"/>
        </w:rPr>
        <w:t>fields.[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</w:t>
      </w:r>
      <w:proofErr w:type="gramStart"/>
      <w:r>
        <w:rPr>
          <w:rFonts w:ascii="source serif 4" w:eastAsia="source serif 4" w:hAnsi="source serif 4" w:cs="source serif 4"/>
          <w:color w:val="000000"/>
        </w:rPr>
        <w:t>1][</w:t>
      </w:r>
      <w:proofErr w:type="gramEnd"/>
      <w:r>
        <w:rPr>
          <w:rFonts w:ascii="source serif 4" w:eastAsia="source serif 4" w:hAnsi="source serif 4" w:cs="source serif 4"/>
          <w:color w:val="000000"/>
        </w:rPr>
        <w:t>file:2]</w:t>
      </w:r>
    </w:p>
    <w:p w14:paraId="07C13BE6" w14:textId="77777777" w:rsidR="002237F5" w:rsidRDefault="00000000">
      <w:pPr>
        <w:spacing w:before="315" w:after="105" w:line="360" w:lineRule="auto"/>
        <w:ind w:left="-30"/>
      </w:pPr>
      <w:bookmarkStart w:id="8" w:name="recommendation_2"/>
      <w:r>
        <w:rPr>
          <w:rFonts w:ascii="source serif 4" w:eastAsia="source serif 4" w:hAnsi="source serif 4" w:cs="source serif 4"/>
          <w:b/>
          <w:color w:val="000000"/>
          <w:sz w:val="24"/>
        </w:rPr>
        <w:t>Recommendation</w:t>
      </w:r>
      <w:bookmarkEnd w:id="8"/>
    </w:p>
    <w:p w14:paraId="1B23A1D3" w14:textId="77777777" w:rsidR="002237F5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Resolve the conflict at the requirements level before implementation is </w:t>
      </w:r>
      <w:proofErr w:type="gramStart"/>
      <w:r>
        <w:rPr>
          <w:rFonts w:ascii="source serif 4" w:eastAsia="source serif 4" w:hAnsi="source serif 4" w:cs="source serif 4"/>
          <w:color w:val="000000"/>
        </w:rPr>
        <w:t>finalized.[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</w:t>
      </w:r>
      <w:proofErr w:type="gramStart"/>
      <w:r>
        <w:rPr>
          <w:rFonts w:ascii="source serif 4" w:eastAsia="source serif 4" w:hAnsi="source serif 4" w:cs="source serif 4"/>
          <w:color w:val="000000"/>
        </w:rPr>
        <w:t>1][</w:t>
      </w:r>
      <w:proofErr w:type="gramEnd"/>
      <w:r>
        <w:rPr>
          <w:rFonts w:ascii="source serif 4" w:eastAsia="source serif 4" w:hAnsi="source serif 4" w:cs="source serif 4"/>
          <w:color w:val="000000"/>
        </w:rPr>
        <w:t>file:2]</w:t>
      </w:r>
    </w:p>
    <w:p w14:paraId="4103E921" w14:textId="77777777" w:rsidR="002237F5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Either amend EPIC-010 so institutional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isdisqualified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is explicitly catalog-driven, matching the LLD, or revise the LLD so every institutional record is stamped </w:t>
      </w:r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false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and any institution-specific exclusion concept is represented through a different </w:t>
      </w:r>
      <w:proofErr w:type="gramStart"/>
      <w:r>
        <w:rPr>
          <w:rFonts w:ascii="source serif 4" w:eastAsia="source serif 4" w:hAnsi="source serif 4" w:cs="source serif 4"/>
          <w:color w:val="000000"/>
        </w:rPr>
        <w:t>field.[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</w:t>
      </w:r>
      <w:proofErr w:type="gramStart"/>
      <w:r>
        <w:rPr>
          <w:rFonts w:ascii="source serif 4" w:eastAsia="source serif 4" w:hAnsi="source serif 4" w:cs="source serif 4"/>
          <w:color w:val="000000"/>
        </w:rPr>
        <w:t>1][</w:t>
      </w:r>
      <w:proofErr w:type="gramEnd"/>
      <w:r>
        <w:rPr>
          <w:rFonts w:ascii="source serif 4" w:eastAsia="source serif 4" w:hAnsi="source serif 4" w:cs="source serif 4"/>
          <w:color w:val="000000"/>
        </w:rPr>
        <w:t>file:2]</w:t>
      </w:r>
    </w:p>
    <w:p w14:paraId="4E1369C9" w14:textId="77777777" w:rsidR="002237F5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After resolution, add a single explicit regression assertion that encodes the chosen rule so the conflict cannot silently recur in future </w:t>
      </w:r>
      <w:proofErr w:type="gramStart"/>
      <w:r>
        <w:rPr>
          <w:rFonts w:ascii="source serif 4" w:eastAsia="source serif 4" w:hAnsi="source serif 4" w:cs="source serif 4"/>
          <w:color w:val="000000"/>
        </w:rPr>
        <w:t>revisions.[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file:2]</w:t>
      </w:r>
    </w:p>
    <w:p w14:paraId="59CE12D8" w14:textId="77777777" w:rsidR="002237F5" w:rsidRDefault="00000000">
      <w:pPr>
        <w:spacing w:before="315" w:after="105" w:line="360" w:lineRule="auto"/>
        <w:ind w:left="-30"/>
      </w:pPr>
      <w:bookmarkStart w:id="9" w:name="finding_6_operator_and_security_s_3a819e"/>
      <w:r>
        <w:rPr>
          <w:rFonts w:ascii="source serif 4" w:eastAsia="source serif 4" w:hAnsi="source serif 4" w:cs="source serif 4"/>
          <w:b/>
          <w:color w:val="000000"/>
          <w:sz w:val="24"/>
        </w:rPr>
        <w:t>Finding 6 – Operator and security surface under-documented</w:t>
      </w:r>
      <w:bookmarkEnd w:id="9"/>
    </w:p>
    <w:p w14:paraId="51B5C59B" w14:textId="77777777" w:rsidR="002237F5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Severity:</w:t>
      </w:r>
      <w:r>
        <w:rPr>
          <w:rFonts w:ascii="source serif 4" w:eastAsia="source serif 4" w:hAnsi="source serif 4" w:cs="source serif 4"/>
          <w:color w:val="000000"/>
        </w:rPr>
        <w:t xml:space="preserve"> Medium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Type:</w:t>
      </w:r>
      <w:r>
        <w:rPr>
          <w:rFonts w:ascii="source serif 4" w:eastAsia="source serif 4" w:hAnsi="source serif 4" w:cs="source serif 4"/>
          <w:color w:val="000000"/>
        </w:rPr>
        <w:t xml:space="preserve"> Operational/security documentation gap</w:t>
      </w:r>
    </w:p>
    <w:p w14:paraId="456A9CAE" w14:textId="77777777" w:rsidR="002237F5" w:rsidRDefault="00000000">
      <w:pPr>
        <w:spacing w:before="315" w:after="105" w:line="360" w:lineRule="auto"/>
        <w:ind w:left="-30"/>
      </w:pPr>
      <w:bookmarkStart w:id="10" w:name="description_3"/>
      <w:r>
        <w:rPr>
          <w:rFonts w:ascii="source serif 4" w:eastAsia="source serif 4" w:hAnsi="source serif 4" w:cs="source serif 4"/>
          <w:b/>
          <w:color w:val="000000"/>
          <w:sz w:val="24"/>
        </w:rPr>
        <w:t>Description</w:t>
      </w:r>
      <w:bookmarkEnd w:id="10"/>
    </w:p>
    <w:p w14:paraId="2609A318" w14:textId="77777777" w:rsidR="002237F5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The requirements digest establishes a single authenticated entry point for pipelines and requires durable surfacing of security issues, including authentication failures and related security events.[file:1] The low-level design references webhook validation, token failures, CISO notifications, and a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chathealthyfrontend.pipeline.securityissues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collection, but it does not define that collection’s schema with the same rigor used for work-items, discrepancies, and run manifests.[file:2] It also does not clearly specify escalation thresholds, operator action traceability, or the audit model for manual reservations and privileged operational intervention.[file:2]</w:t>
      </w:r>
    </w:p>
    <w:p w14:paraId="5AC28810" w14:textId="77777777" w:rsidR="002237F5" w:rsidRDefault="00000000">
      <w:pPr>
        <w:spacing w:before="315" w:after="105" w:line="360" w:lineRule="auto"/>
        <w:ind w:left="-30"/>
      </w:pPr>
      <w:bookmarkStart w:id="11" w:name="impact_3"/>
      <w:r>
        <w:rPr>
          <w:rFonts w:ascii="source serif 4" w:eastAsia="source serif 4" w:hAnsi="source serif 4" w:cs="source serif 4"/>
          <w:b/>
          <w:color w:val="000000"/>
          <w:sz w:val="24"/>
        </w:rPr>
        <w:t>Impact</w:t>
      </w:r>
      <w:bookmarkEnd w:id="11"/>
    </w:p>
    <w:p w14:paraId="73EABE6D" w14:textId="77777777" w:rsidR="002237F5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The design is directionally correct, but its current level of specification is not yet strong enough to support disciplined implementation, security review, or later compliance audit of operational </w:t>
      </w:r>
      <w:proofErr w:type="gramStart"/>
      <w:r>
        <w:rPr>
          <w:rFonts w:ascii="source serif 4" w:eastAsia="source serif 4" w:hAnsi="source serif 4" w:cs="source serif 4"/>
          <w:color w:val="000000"/>
        </w:rPr>
        <w:t>controls.[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</w:t>
      </w:r>
      <w:proofErr w:type="gramStart"/>
      <w:r>
        <w:rPr>
          <w:rFonts w:ascii="source serif 4" w:eastAsia="source serif 4" w:hAnsi="source serif 4" w:cs="source serif 4"/>
          <w:color w:val="000000"/>
        </w:rPr>
        <w:t>1][</w:t>
      </w:r>
      <w:proofErr w:type="gramEnd"/>
      <w:r>
        <w:rPr>
          <w:rFonts w:ascii="source serif 4" w:eastAsia="source serif 4" w:hAnsi="source serif 4" w:cs="source serif 4"/>
          <w:color w:val="000000"/>
        </w:rPr>
        <w:t>file:2]</w:t>
      </w:r>
    </w:p>
    <w:p w14:paraId="0F985C07" w14:textId="77777777" w:rsidR="002237F5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Without an explicit event contract for security issues, different implementers could log materially different fields, making the audit trail incomplete or inconsistent across </w:t>
      </w:r>
      <w:proofErr w:type="gramStart"/>
      <w:r>
        <w:rPr>
          <w:rFonts w:ascii="source serif 4" w:eastAsia="source serif 4" w:hAnsi="source serif 4" w:cs="source serif 4"/>
          <w:color w:val="000000"/>
        </w:rPr>
        <w:t>environments.[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file:2]</w:t>
      </w:r>
    </w:p>
    <w:p w14:paraId="630F38E8" w14:textId="77777777" w:rsidR="002237F5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The lack of a defined operator-action model also increases the risk that manual interventions become operationally necessary but insufficiently </w:t>
      </w:r>
      <w:proofErr w:type="gramStart"/>
      <w:r>
        <w:rPr>
          <w:rFonts w:ascii="source serif 4" w:eastAsia="source serif 4" w:hAnsi="source serif 4" w:cs="source serif 4"/>
          <w:color w:val="000000"/>
        </w:rPr>
        <w:t>traceable.[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file:2]</w:t>
      </w:r>
    </w:p>
    <w:p w14:paraId="5A06F73E" w14:textId="77777777" w:rsidR="002237F5" w:rsidRDefault="00000000">
      <w:pPr>
        <w:spacing w:before="315" w:after="105" w:line="360" w:lineRule="auto"/>
        <w:ind w:left="-30"/>
      </w:pPr>
      <w:bookmarkStart w:id="12" w:name="recommendation_3"/>
      <w:r>
        <w:rPr>
          <w:rFonts w:ascii="source serif 4" w:eastAsia="source serif 4" w:hAnsi="source serif 4" w:cs="source serif 4"/>
          <w:b/>
          <w:color w:val="000000"/>
          <w:sz w:val="24"/>
        </w:rPr>
        <w:t>Recommendation</w:t>
      </w:r>
      <w:bookmarkEnd w:id="12"/>
    </w:p>
    <w:p w14:paraId="5847F2FE" w14:textId="77777777" w:rsidR="002237F5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Treat this as a valid </w:t>
      </w:r>
      <w:proofErr w:type="gramStart"/>
      <w:r>
        <w:rPr>
          <w:rFonts w:ascii="source serif 4" w:eastAsia="source serif 4" w:hAnsi="source serif 4" w:cs="source serif 4"/>
          <w:color w:val="000000"/>
        </w:rPr>
        <w:t>finding, but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defer detailed remediation design until the security and operator-control surface is addressed as an explicit work </w:t>
      </w:r>
      <w:proofErr w:type="gramStart"/>
      <w:r>
        <w:rPr>
          <w:rFonts w:ascii="source serif 4" w:eastAsia="source serif 4" w:hAnsi="source serif 4" w:cs="source serif 4"/>
          <w:color w:val="000000"/>
        </w:rPr>
        <w:t>item.[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file:2]</w:t>
      </w:r>
    </w:p>
    <w:p w14:paraId="5B41E293" w14:textId="77777777" w:rsidR="002237F5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When that work begins, add a normative schema for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chathealthyfrontend.pipeline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.securityissues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including event type, actor or principal, pipeline name, source, timestamp, failure reason, and </w:t>
      </w:r>
      <w:proofErr w:type="gramStart"/>
      <w:r>
        <w:rPr>
          <w:rFonts w:ascii="source serif 4" w:eastAsia="source serif 4" w:hAnsi="source serif 4" w:cs="source serif 4"/>
          <w:color w:val="000000"/>
        </w:rPr>
        <w:t>disposition.[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file:2]</w:t>
      </w:r>
    </w:p>
    <w:p w14:paraId="099DF540" w14:textId="77777777" w:rsidR="002237F5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Also define explicit audit requirements for manual operator reservations, credential rotation, and notification escalation thresholds so the operational security surface is as concrete as the rest of the orchestration </w:t>
      </w:r>
      <w:proofErr w:type="gramStart"/>
      <w:r>
        <w:rPr>
          <w:rFonts w:ascii="source serif 4" w:eastAsia="source serif 4" w:hAnsi="source serif 4" w:cs="source serif 4"/>
          <w:color w:val="000000"/>
        </w:rPr>
        <w:t>design.[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</w:t>
      </w:r>
      <w:proofErr w:type="gramStart"/>
      <w:r>
        <w:rPr>
          <w:rFonts w:ascii="source serif 4" w:eastAsia="source serif 4" w:hAnsi="source serif 4" w:cs="source serif 4"/>
          <w:color w:val="000000"/>
        </w:rPr>
        <w:t>1][</w:t>
      </w:r>
      <w:proofErr w:type="gramEnd"/>
      <w:r>
        <w:rPr>
          <w:rFonts w:ascii="source serif 4" w:eastAsia="source serif 4" w:hAnsi="source serif 4" w:cs="source serif 4"/>
          <w:color w:val="000000"/>
        </w:rPr>
        <w:t>file:2]</w:t>
      </w:r>
    </w:p>
    <w:p w14:paraId="0BD6558B" w14:textId="77777777" w:rsidR="002237F5" w:rsidRDefault="00000000">
      <w:pPr>
        <w:spacing w:before="315" w:after="105" w:line="360" w:lineRule="auto"/>
        <w:ind w:left="-30"/>
      </w:pPr>
      <w:bookmarkStart w:id="13" w:name="finding_9_specialty_schema_and_sh_37fd2f"/>
      <w:r>
        <w:rPr>
          <w:rFonts w:ascii="source serif 4" w:eastAsia="source serif 4" w:hAnsi="source serif 4" w:cs="source serif 4"/>
          <w:b/>
          <w:color w:val="000000"/>
          <w:sz w:val="24"/>
        </w:rPr>
        <w:t>Finding 9 – Specialty schema and shared flag semantics need explicit linkage</w:t>
      </w:r>
      <w:bookmarkEnd w:id="13"/>
    </w:p>
    <w:p w14:paraId="389C7F4D" w14:textId="77777777" w:rsidR="002237F5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Severity:</w:t>
      </w:r>
      <w:r>
        <w:rPr>
          <w:rFonts w:ascii="source serif 4" w:eastAsia="source serif 4" w:hAnsi="source serif 4" w:cs="source serif 4"/>
          <w:color w:val="000000"/>
        </w:rPr>
        <w:t xml:space="preserve"> Medium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Type:</w:t>
      </w:r>
      <w:r>
        <w:rPr>
          <w:rFonts w:ascii="source serif 4" w:eastAsia="source serif 4" w:hAnsi="source serif 4" w:cs="source serif 4"/>
          <w:color w:val="000000"/>
        </w:rPr>
        <w:t xml:space="preserve"> Cross-artifact governance gap</w:t>
      </w:r>
    </w:p>
    <w:p w14:paraId="66CC8396" w14:textId="77777777" w:rsidR="002237F5" w:rsidRDefault="00000000">
      <w:pPr>
        <w:spacing w:before="315" w:after="105" w:line="360" w:lineRule="auto"/>
        <w:ind w:left="-30"/>
      </w:pPr>
      <w:bookmarkStart w:id="14" w:name="description_4"/>
      <w:r>
        <w:rPr>
          <w:rFonts w:ascii="source serif 4" w:eastAsia="source serif 4" w:hAnsi="source serif 4" w:cs="source serif 4"/>
          <w:b/>
          <w:color w:val="000000"/>
          <w:sz w:val="24"/>
        </w:rPr>
        <w:t>Description</w:t>
      </w:r>
      <w:bookmarkEnd w:id="14"/>
    </w:p>
    <w:p w14:paraId="4EE110CB" w14:textId="77777777" w:rsidR="002237F5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The requirements digest notes that the specialty dataset’s published normative schema does not yet exist at the required location and must either be authored or the requirement repointed.[file:1] The provider LLD relies on the shared F-006 classification catalog for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canprescribe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ishomeopathic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and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isdisqualified</w:t>
      </w:r>
      <w:proofErr w:type="spellEnd"/>
      <w:r>
        <w:rPr>
          <w:rFonts w:ascii="source serif 4" w:eastAsia="source serif 4" w:hAnsi="source serif 4" w:cs="source serif 4"/>
          <w:color w:val="000000"/>
        </w:rPr>
        <w:t>, and presents those flags as shared substrate semantics across provider and specialty data handling.[file:2] However, the current documentation set does not explicitly define a single cross-artifact semantic authority ensuring that provider and specialty datasets will continue to interpret those flags identically once the specialty schema is authored.[file:1][file:2]</w:t>
      </w:r>
    </w:p>
    <w:p w14:paraId="2B4E2CE4" w14:textId="77777777" w:rsidR="002237F5" w:rsidRDefault="00000000">
      <w:pPr>
        <w:spacing w:before="315" w:after="105" w:line="360" w:lineRule="auto"/>
        <w:ind w:left="-30"/>
      </w:pPr>
      <w:bookmarkStart w:id="15" w:name="impact_4"/>
      <w:r>
        <w:rPr>
          <w:rFonts w:ascii="source serif 4" w:eastAsia="source serif 4" w:hAnsi="source serif 4" w:cs="source serif 4"/>
          <w:b/>
          <w:color w:val="000000"/>
          <w:sz w:val="24"/>
        </w:rPr>
        <w:t>Impact</w:t>
      </w:r>
      <w:bookmarkEnd w:id="15"/>
    </w:p>
    <w:p w14:paraId="711CE4F1" w14:textId="77777777" w:rsidR="002237F5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creates a governance risk rather than an immediate runtime defect: provider and specialty records could drift semantically even while both </w:t>
      </w:r>
      <w:proofErr w:type="gramStart"/>
      <w:r>
        <w:rPr>
          <w:rFonts w:ascii="source serif 4" w:eastAsia="source serif 4" w:hAnsi="source serif 4" w:cs="source serif 4"/>
          <w:color w:val="000000"/>
        </w:rPr>
        <w:t>claim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to use the same F-006 </w:t>
      </w:r>
      <w:proofErr w:type="gramStart"/>
      <w:r>
        <w:rPr>
          <w:rFonts w:ascii="source serif 4" w:eastAsia="source serif 4" w:hAnsi="source serif 4" w:cs="source serif 4"/>
          <w:color w:val="000000"/>
        </w:rPr>
        <w:t>catalog.[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</w:t>
      </w:r>
      <w:proofErr w:type="gramStart"/>
      <w:r>
        <w:rPr>
          <w:rFonts w:ascii="source serif 4" w:eastAsia="source serif 4" w:hAnsi="source serif 4" w:cs="source serif 4"/>
          <w:color w:val="000000"/>
        </w:rPr>
        <w:t>1][</w:t>
      </w:r>
      <w:proofErr w:type="gramEnd"/>
      <w:r>
        <w:rPr>
          <w:rFonts w:ascii="source serif 4" w:eastAsia="source serif 4" w:hAnsi="source serif 4" w:cs="source serif 4"/>
          <w:color w:val="000000"/>
        </w:rPr>
        <w:t>file:2]</w:t>
      </w:r>
    </w:p>
    <w:p w14:paraId="7C87E1A4" w14:textId="77777777" w:rsidR="002237F5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Such drift would be especially problematic for downstream product logic that compares specialties to providers or expects shared meaning from these </w:t>
      </w:r>
      <w:proofErr w:type="spellStart"/>
      <w:r>
        <w:rPr>
          <w:rFonts w:ascii="source serif 4" w:eastAsia="source serif 4" w:hAnsi="source serif 4" w:cs="source serif 4"/>
          <w:color w:val="000000"/>
        </w:rPr>
        <w:t>booleans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across </w:t>
      </w:r>
      <w:proofErr w:type="gramStart"/>
      <w:r>
        <w:rPr>
          <w:rFonts w:ascii="source serif 4" w:eastAsia="source serif 4" w:hAnsi="source serif 4" w:cs="source serif 4"/>
          <w:color w:val="000000"/>
        </w:rPr>
        <w:t>datasets.[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file:2]</w:t>
      </w:r>
    </w:p>
    <w:p w14:paraId="03E84698" w14:textId="77777777" w:rsidR="002237F5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Leaving the linkage implicit also makes future business review harder, because stakeholders would need to reconcile meaning across multiple documents instead of one clearly named semantic </w:t>
      </w:r>
      <w:proofErr w:type="gramStart"/>
      <w:r>
        <w:rPr>
          <w:rFonts w:ascii="source serif 4" w:eastAsia="source serif 4" w:hAnsi="source serif 4" w:cs="source serif 4"/>
          <w:color w:val="000000"/>
        </w:rPr>
        <w:t>contract.[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file:1]</w:t>
      </w:r>
    </w:p>
    <w:p w14:paraId="00E8EBFF" w14:textId="77777777" w:rsidR="002237F5" w:rsidRDefault="00000000">
      <w:pPr>
        <w:spacing w:before="315" w:after="105" w:line="360" w:lineRule="auto"/>
        <w:ind w:left="-30"/>
      </w:pPr>
      <w:bookmarkStart w:id="16" w:name="recommendation_4"/>
      <w:r>
        <w:rPr>
          <w:rFonts w:ascii="source serif 4" w:eastAsia="source serif 4" w:hAnsi="source serif 4" w:cs="source serif 4"/>
          <w:b/>
          <w:color w:val="000000"/>
          <w:sz w:val="24"/>
        </w:rPr>
        <w:t>Recommendation</w:t>
      </w:r>
      <w:bookmarkEnd w:id="16"/>
    </w:p>
    <w:p w14:paraId="02B240A6" w14:textId="77777777" w:rsidR="002237F5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Add an explicit cross-reference in the requirements digest stating that specialty and provider flag semantics are governed by the same F-006 classification meaning and must remain </w:t>
      </w:r>
      <w:proofErr w:type="gramStart"/>
      <w:r>
        <w:rPr>
          <w:rFonts w:ascii="source serif 4" w:eastAsia="source serif 4" w:hAnsi="source serif 4" w:cs="source serif 4"/>
          <w:color w:val="000000"/>
        </w:rPr>
        <w:t>aligned.[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file:1]</w:t>
      </w:r>
    </w:p>
    <w:p w14:paraId="0B66DDD3" w14:textId="77777777" w:rsidR="002237F5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In the provider LLD, add a short note in the F-006 catalog or schema section stating that the three shared </w:t>
      </w:r>
      <w:proofErr w:type="spellStart"/>
      <w:r>
        <w:rPr>
          <w:rFonts w:ascii="source serif 4" w:eastAsia="source serif 4" w:hAnsi="source serif 4" w:cs="source serif 4"/>
          <w:color w:val="000000"/>
        </w:rPr>
        <w:t>booleans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are intended to be semantically identical across provider and specialty </w:t>
      </w:r>
      <w:proofErr w:type="gramStart"/>
      <w:r>
        <w:rPr>
          <w:rFonts w:ascii="source serif 4" w:eastAsia="source serif 4" w:hAnsi="source serif 4" w:cs="source serif 4"/>
          <w:color w:val="000000"/>
        </w:rPr>
        <w:t>datasets.[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file:2]</w:t>
      </w:r>
    </w:p>
    <w:p w14:paraId="0458AB80" w14:textId="77777777" w:rsidR="002237F5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When the specialty schema is authored, require it to reference that same semantic authority directly rather than re-describing the flags </w:t>
      </w:r>
      <w:proofErr w:type="gramStart"/>
      <w:r>
        <w:rPr>
          <w:rFonts w:ascii="source serif 4" w:eastAsia="source serif 4" w:hAnsi="source serif 4" w:cs="source serif 4"/>
          <w:color w:val="000000"/>
        </w:rPr>
        <w:t>independently.[</w:t>
      </w:r>
      <w:proofErr w:type="gramEnd"/>
      <w:r>
        <w:rPr>
          <w:rFonts w:ascii="source serif 4" w:eastAsia="source serif 4" w:hAnsi="source serif 4" w:cs="source serif 4"/>
          <w:color w:val="000000"/>
        </w:rPr>
        <w:t>file:</w:t>
      </w:r>
      <w:proofErr w:type="gramStart"/>
      <w:r>
        <w:rPr>
          <w:rFonts w:ascii="source serif 4" w:eastAsia="source serif 4" w:hAnsi="source serif 4" w:cs="source serif 4"/>
          <w:color w:val="000000"/>
        </w:rPr>
        <w:t>1][</w:t>
      </w:r>
      <w:proofErr w:type="gramEnd"/>
      <w:r>
        <w:rPr>
          <w:rFonts w:ascii="source serif 4" w:eastAsia="source serif 4" w:hAnsi="source serif 4" w:cs="source serif 4"/>
          <w:color w:val="000000"/>
        </w:rPr>
        <w:t>file:2]</w:t>
      </w:r>
    </w:p>
    <w:sectPr w:rsidR="002237F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1605"/>
    <w:multiLevelType w:val="hybridMultilevel"/>
    <w:tmpl w:val="CEB6A8A6"/>
    <w:lvl w:ilvl="0" w:tplc="5DD883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2E7FF8">
      <w:numFmt w:val="decimal"/>
      <w:lvlText w:val=""/>
      <w:lvlJc w:val="left"/>
    </w:lvl>
    <w:lvl w:ilvl="2" w:tplc="D04ECAF6">
      <w:numFmt w:val="decimal"/>
      <w:lvlText w:val=""/>
      <w:lvlJc w:val="left"/>
    </w:lvl>
    <w:lvl w:ilvl="3" w:tplc="D654E21C">
      <w:numFmt w:val="decimal"/>
      <w:lvlText w:val=""/>
      <w:lvlJc w:val="left"/>
    </w:lvl>
    <w:lvl w:ilvl="4" w:tplc="FF4A59CC">
      <w:numFmt w:val="decimal"/>
      <w:lvlText w:val=""/>
      <w:lvlJc w:val="left"/>
    </w:lvl>
    <w:lvl w:ilvl="5" w:tplc="3880126C">
      <w:numFmt w:val="decimal"/>
      <w:lvlText w:val=""/>
      <w:lvlJc w:val="left"/>
    </w:lvl>
    <w:lvl w:ilvl="6" w:tplc="04DEFDB2">
      <w:numFmt w:val="decimal"/>
      <w:lvlText w:val=""/>
      <w:lvlJc w:val="left"/>
    </w:lvl>
    <w:lvl w:ilvl="7" w:tplc="4CEA1CEA">
      <w:numFmt w:val="decimal"/>
      <w:lvlText w:val=""/>
      <w:lvlJc w:val="left"/>
    </w:lvl>
    <w:lvl w:ilvl="8" w:tplc="BDCE3452">
      <w:numFmt w:val="decimal"/>
      <w:lvlText w:val=""/>
      <w:lvlJc w:val="left"/>
    </w:lvl>
  </w:abstractNum>
  <w:abstractNum w:abstractNumId="1" w15:restartNumberingAfterBreak="0">
    <w:nsid w:val="0B876A86"/>
    <w:multiLevelType w:val="hybridMultilevel"/>
    <w:tmpl w:val="C9BA5DF2"/>
    <w:lvl w:ilvl="0" w:tplc="A856676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80D106">
      <w:numFmt w:val="decimal"/>
      <w:lvlText w:val=""/>
      <w:lvlJc w:val="left"/>
    </w:lvl>
    <w:lvl w:ilvl="2" w:tplc="8698EA5A">
      <w:numFmt w:val="decimal"/>
      <w:lvlText w:val=""/>
      <w:lvlJc w:val="left"/>
    </w:lvl>
    <w:lvl w:ilvl="3" w:tplc="FFF89A0E">
      <w:numFmt w:val="decimal"/>
      <w:lvlText w:val=""/>
      <w:lvlJc w:val="left"/>
    </w:lvl>
    <w:lvl w:ilvl="4" w:tplc="9CAAD580">
      <w:numFmt w:val="decimal"/>
      <w:lvlText w:val=""/>
      <w:lvlJc w:val="left"/>
    </w:lvl>
    <w:lvl w:ilvl="5" w:tplc="47CE3164">
      <w:numFmt w:val="decimal"/>
      <w:lvlText w:val=""/>
      <w:lvlJc w:val="left"/>
    </w:lvl>
    <w:lvl w:ilvl="6" w:tplc="2CE46F30">
      <w:numFmt w:val="decimal"/>
      <w:lvlText w:val=""/>
      <w:lvlJc w:val="left"/>
    </w:lvl>
    <w:lvl w:ilvl="7" w:tplc="EB4684DE">
      <w:numFmt w:val="decimal"/>
      <w:lvlText w:val=""/>
      <w:lvlJc w:val="left"/>
    </w:lvl>
    <w:lvl w:ilvl="8" w:tplc="BDEA5132">
      <w:numFmt w:val="decimal"/>
      <w:lvlText w:val=""/>
      <w:lvlJc w:val="left"/>
    </w:lvl>
  </w:abstractNum>
  <w:abstractNum w:abstractNumId="2" w15:restartNumberingAfterBreak="0">
    <w:nsid w:val="176C401B"/>
    <w:multiLevelType w:val="hybridMultilevel"/>
    <w:tmpl w:val="1ED8A8E8"/>
    <w:lvl w:ilvl="0" w:tplc="4C0A6A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C4ED10">
      <w:numFmt w:val="decimal"/>
      <w:lvlText w:val=""/>
      <w:lvlJc w:val="left"/>
    </w:lvl>
    <w:lvl w:ilvl="2" w:tplc="052A6E38">
      <w:numFmt w:val="decimal"/>
      <w:lvlText w:val=""/>
      <w:lvlJc w:val="left"/>
    </w:lvl>
    <w:lvl w:ilvl="3" w:tplc="D8560BCE">
      <w:numFmt w:val="decimal"/>
      <w:lvlText w:val=""/>
      <w:lvlJc w:val="left"/>
    </w:lvl>
    <w:lvl w:ilvl="4" w:tplc="3788C902">
      <w:numFmt w:val="decimal"/>
      <w:lvlText w:val=""/>
      <w:lvlJc w:val="left"/>
    </w:lvl>
    <w:lvl w:ilvl="5" w:tplc="0E3ECA14">
      <w:numFmt w:val="decimal"/>
      <w:lvlText w:val=""/>
      <w:lvlJc w:val="left"/>
    </w:lvl>
    <w:lvl w:ilvl="6" w:tplc="07102C4A">
      <w:numFmt w:val="decimal"/>
      <w:lvlText w:val=""/>
      <w:lvlJc w:val="left"/>
    </w:lvl>
    <w:lvl w:ilvl="7" w:tplc="6A800CE4">
      <w:numFmt w:val="decimal"/>
      <w:lvlText w:val=""/>
      <w:lvlJc w:val="left"/>
    </w:lvl>
    <w:lvl w:ilvl="8" w:tplc="E1DEAEF2">
      <w:numFmt w:val="decimal"/>
      <w:lvlText w:val=""/>
      <w:lvlJc w:val="left"/>
    </w:lvl>
  </w:abstractNum>
  <w:abstractNum w:abstractNumId="3" w15:restartNumberingAfterBreak="0">
    <w:nsid w:val="1D6F57E0"/>
    <w:multiLevelType w:val="hybridMultilevel"/>
    <w:tmpl w:val="D47C2290"/>
    <w:lvl w:ilvl="0" w:tplc="76200B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FAED34">
      <w:numFmt w:val="decimal"/>
      <w:lvlText w:val=""/>
      <w:lvlJc w:val="left"/>
    </w:lvl>
    <w:lvl w:ilvl="2" w:tplc="7910E0CE">
      <w:numFmt w:val="decimal"/>
      <w:lvlText w:val=""/>
      <w:lvlJc w:val="left"/>
    </w:lvl>
    <w:lvl w:ilvl="3" w:tplc="EC1EDCAE">
      <w:numFmt w:val="decimal"/>
      <w:lvlText w:val=""/>
      <w:lvlJc w:val="left"/>
    </w:lvl>
    <w:lvl w:ilvl="4" w:tplc="95C8A046">
      <w:numFmt w:val="decimal"/>
      <w:lvlText w:val=""/>
      <w:lvlJc w:val="left"/>
    </w:lvl>
    <w:lvl w:ilvl="5" w:tplc="0A2205B0">
      <w:numFmt w:val="decimal"/>
      <w:lvlText w:val=""/>
      <w:lvlJc w:val="left"/>
    </w:lvl>
    <w:lvl w:ilvl="6" w:tplc="A2CA900C">
      <w:numFmt w:val="decimal"/>
      <w:lvlText w:val=""/>
      <w:lvlJc w:val="left"/>
    </w:lvl>
    <w:lvl w:ilvl="7" w:tplc="B2FCEE18">
      <w:numFmt w:val="decimal"/>
      <w:lvlText w:val=""/>
      <w:lvlJc w:val="left"/>
    </w:lvl>
    <w:lvl w:ilvl="8" w:tplc="92C2B090">
      <w:numFmt w:val="decimal"/>
      <w:lvlText w:val=""/>
      <w:lvlJc w:val="left"/>
    </w:lvl>
  </w:abstractNum>
  <w:abstractNum w:abstractNumId="4" w15:restartNumberingAfterBreak="0">
    <w:nsid w:val="22013D29"/>
    <w:multiLevelType w:val="hybridMultilevel"/>
    <w:tmpl w:val="0BA280F6"/>
    <w:lvl w:ilvl="0" w:tplc="005040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54E6C3E">
      <w:numFmt w:val="decimal"/>
      <w:lvlText w:val=""/>
      <w:lvlJc w:val="left"/>
    </w:lvl>
    <w:lvl w:ilvl="2" w:tplc="E9726E3C">
      <w:numFmt w:val="decimal"/>
      <w:lvlText w:val=""/>
      <w:lvlJc w:val="left"/>
    </w:lvl>
    <w:lvl w:ilvl="3" w:tplc="6366D460">
      <w:numFmt w:val="decimal"/>
      <w:lvlText w:val=""/>
      <w:lvlJc w:val="left"/>
    </w:lvl>
    <w:lvl w:ilvl="4" w:tplc="1CECDB26">
      <w:numFmt w:val="decimal"/>
      <w:lvlText w:val=""/>
      <w:lvlJc w:val="left"/>
    </w:lvl>
    <w:lvl w:ilvl="5" w:tplc="F36ADAE8">
      <w:numFmt w:val="decimal"/>
      <w:lvlText w:val=""/>
      <w:lvlJc w:val="left"/>
    </w:lvl>
    <w:lvl w:ilvl="6" w:tplc="AB1E4F0E">
      <w:numFmt w:val="decimal"/>
      <w:lvlText w:val=""/>
      <w:lvlJc w:val="left"/>
    </w:lvl>
    <w:lvl w:ilvl="7" w:tplc="3BA46BF0">
      <w:numFmt w:val="decimal"/>
      <w:lvlText w:val=""/>
      <w:lvlJc w:val="left"/>
    </w:lvl>
    <w:lvl w:ilvl="8" w:tplc="3B7C6406">
      <w:numFmt w:val="decimal"/>
      <w:lvlText w:val=""/>
      <w:lvlJc w:val="left"/>
    </w:lvl>
  </w:abstractNum>
  <w:abstractNum w:abstractNumId="5" w15:restartNumberingAfterBreak="0">
    <w:nsid w:val="5C7538DB"/>
    <w:multiLevelType w:val="hybridMultilevel"/>
    <w:tmpl w:val="DD8A8E78"/>
    <w:lvl w:ilvl="0" w:tplc="0B702B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1C09E4">
      <w:numFmt w:val="decimal"/>
      <w:lvlText w:val=""/>
      <w:lvlJc w:val="left"/>
    </w:lvl>
    <w:lvl w:ilvl="2" w:tplc="A9E06102">
      <w:numFmt w:val="decimal"/>
      <w:lvlText w:val=""/>
      <w:lvlJc w:val="left"/>
    </w:lvl>
    <w:lvl w:ilvl="3" w:tplc="FD762E8A">
      <w:numFmt w:val="decimal"/>
      <w:lvlText w:val=""/>
      <w:lvlJc w:val="left"/>
    </w:lvl>
    <w:lvl w:ilvl="4" w:tplc="D8A01F9C">
      <w:numFmt w:val="decimal"/>
      <w:lvlText w:val=""/>
      <w:lvlJc w:val="left"/>
    </w:lvl>
    <w:lvl w:ilvl="5" w:tplc="0A000F44">
      <w:numFmt w:val="decimal"/>
      <w:lvlText w:val=""/>
      <w:lvlJc w:val="left"/>
    </w:lvl>
    <w:lvl w:ilvl="6" w:tplc="1764BB6A">
      <w:numFmt w:val="decimal"/>
      <w:lvlText w:val=""/>
      <w:lvlJc w:val="left"/>
    </w:lvl>
    <w:lvl w:ilvl="7" w:tplc="6BE6B4CC">
      <w:numFmt w:val="decimal"/>
      <w:lvlText w:val=""/>
      <w:lvlJc w:val="left"/>
    </w:lvl>
    <w:lvl w:ilvl="8" w:tplc="A790B2B6">
      <w:numFmt w:val="decimal"/>
      <w:lvlText w:val=""/>
      <w:lvlJc w:val="left"/>
    </w:lvl>
  </w:abstractNum>
  <w:abstractNum w:abstractNumId="6" w15:restartNumberingAfterBreak="0">
    <w:nsid w:val="5D5309B4"/>
    <w:multiLevelType w:val="hybridMultilevel"/>
    <w:tmpl w:val="DE5031B0"/>
    <w:lvl w:ilvl="0" w:tplc="BE3691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7E8364">
      <w:numFmt w:val="decimal"/>
      <w:lvlText w:val=""/>
      <w:lvlJc w:val="left"/>
    </w:lvl>
    <w:lvl w:ilvl="2" w:tplc="25A80136">
      <w:numFmt w:val="decimal"/>
      <w:lvlText w:val=""/>
      <w:lvlJc w:val="left"/>
    </w:lvl>
    <w:lvl w:ilvl="3" w:tplc="E242A6CC">
      <w:numFmt w:val="decimal"/>
      <w:lvlText w:val=""/>
      <w:lvlJc w:val="left"/>
    </w:lvl>
    <w:lvl w:ilvl="4" w:tplc="70D88FA8">
      <w:numFmt w:val="decimal"/>
      <w:lvlText w:val=""/>
      <w:lvlJc w:val="left"/>
    </w:lvl>
    <w:lvl w:ilvl="5" w:tplc="C1B001DA">
      <w:numFmt w:val="decimal"/>
      <w:lvlText w:val=""/>
      <w:lvlJc w:val="left"/>
    </w:lvl>
    <w:lvl w:ilvl="6" w:tplc="69706ADE">
      <w:numFmt w:val="decimal"/>
      <w:lvlText w:val=""/>
      <w:lvlJc w:val="left"/>
    </w:lvl>
    <w:lvl w:ilvl="7" w:tplc="61D6DD52">
      <w:numFmt w:val="decimal"/>
      <w:lvlText w:val=""/>
      <w:lvlJc w:val="left"/>
    </w:lvl>
    <w:lvl w:ilvl="8" w:tplc="2B3869B0">
      <w:numFmt w:val="decimal"/>
      <w:lvlText w:val=""/>
      <w:lvlJc w:val="left"/>
    </w:lvl>
  </w:abstractNum>
  <w:abstractNum w:abstractNumId="7" w15:restartNumberingAfterBreak="0">
    <w:nsid w:val="766C50E2"/>
    <w:multiLevelType w:val="hybridMultilevel"/>
    <w:tmpl w:val="8C041D22"/>
    <w:lvl w:ilvl="0" w:tplc="130C06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8BE4184">
      <w:numFmt w:val="decimal"/>
      <w:lvlText w:val=""/>
      <w:lvlJc w:val="left"/>
    </w:lvl>
    <w:lvl w:ilvl="2" w:tplc="BCE2AB34">
      <w:numFmt w:val="decimal"/>
      <w:lvlText w:val=""/>
      <w:lvlJc w:val="left"/>
    </w:lvl>
    <w:lvl w:ilvl="3" w:tplc="7F30D0D4">
      <w:numFmt w:val="decimal"/>
      <w:lvlText w:val=""/>
      <w:lvlJc w:val="left"/>
    </w:lvl>
    <w:lvl w:ilvl="4" w:tplc="F6CC7F40">
      <w:numFmt w:val="decimal"/>
      <w:lvlText w:val=""/>
      <w:lvlJc w:val="left"/>
    </w:lvl>
    <w:lvl w:ilvl="5" w:tplc="1DB898D2">
      <w:numFmt w:val="decimal"/>
      <w:lvlText w:val=""/>
      <w:lvlJc w:val="left"/>
    </w:lvl>
    <w:lvl w:ilvl="6" w:tplc="3FA892DC">
      <w:numFmt w:val="decimal"/>
      <w:lvlText w:val=""/>
      <w:lvlJc w:val="left"/>
    </w:lvl>
    <w:lvl w:ilvl="7" w:tplc="A48408C0">
      <w:numFmt w:val="decimal"/>
      <w:lvlText w:val=""/>
      <w:lvlJc w:val="left"/>
    </w:lvl>
    <w:lvl w:ilvl="8" w:tplc="0DB8BB6A">
      <w:numFmt w:val="decimal"/>
      <w:lvlText w:val=""/>
      <w:lvlJc w:val="left"/>
    </w:lvl>
  </w:abstractNum>
  <w:num w:numId="1" w16cid:durableId="649485010">
    <w:abstractNumId w:val="6"/>
  </w:num>
  <w:num w:numId="2" w16cid:durableId="89325619">
    <w:abstractNumId w:val="0"/>
  </w:num>
  <w:num w:numId="3" w16cid:durableId="173768620">
    <w:abstractNumId w:val="5"/>
  </w:num>
  <w:num w:numId="4" w16cid:durableId="325089717">
    <w:abstractNumId w:val="1"/>
  </w:num>
  <w:num w:numId="5" w16cid:durableId="1449545606">
    <w:abstractNumId w:val="4"/>
  </w:num>
  <w:num w:numId="6" w16cid:durableId="1494099619">
    <w:abstractNumId w:val="3"/>
  </w:num>
  <w:num w:numId="7" w16cid:durableId="15740868">
    <w:abstractNumId w:val="2"/>
  </w:num>
  <w:num w:numId="8" w16cid:durableId="8559274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7F5"/>
    <w:rsid w:val="002237F5"/>
    <w:rsid w:val="00750338"/>
    <w:rsid w:val="0082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37D7E"/>
  <w15:docId w15:val="{77322E3C-0EB1-4AB0-983C-4824FD221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1226</Words>
  <Characters>6991</Characters>
  <Application>Microsoft Office Word</Application>
  <DocSecurity>0</DocSecurity>
  <Lines>58</Lines>
  <Paragraphs>16</Paragraphs>
  <ScaleCrop>false</ScaleCrop>
  <Company/>
  <LinksUpToDate>false</LinksUpToDate>
  <CharactersWithSpaces>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skip snow</cp:lastModifiedBy>
  <cp:revision>2</cp:revision>
  <dcterms:created xsi:type="dcterms:W3CDTF">2026-07-08T14:58:00Z</dcterms:created>
  <dcterms:modified xsi:type="dcterms:W3CDTF">2026-07-08T14:58:00Z</dcterms:modified>
</cp:coreProperties>
</file>