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The Refactor — Plan</w:t>
      </w:r>
    </w:p>
    <w:p>
      <w:r>
        <w:rPr>
          <w:i/>
          <w:color w:val="6B7280"/>
          <w:sz w:val="19"/>
        </w:rPr>
        <w:t>How the code reaches the target the five architectures state. Its exit criterion is that the Code directory does not exist.</w:t>
      </w:r>
    </w:p>
    <w:p>
      <w:pPr>
        <w:pStyle w:val="Heading1"/>
      </w:pPr>
      <w:r>
        <w:t>The Refactor — Plan</w:t>
      </w:r>
    </w:p>
    <w:p>
      <w:r>
        <w:t>Artifact 6 of 6. The five architecture documents state the target. This states how the code gets there, in what order, and what proves each step.</w:t>
      </w:r>
    </w:p>
    <w:p>
      <w:pPr/>
      <w:r>
        <w:t>What this plan builds, and what it moves into. The five architectures name the target's new components — the Gate, the UniversalNavigator in SharedServices, its per-satellite UniversalNavigatorProxy, the UtteranceManager, and the one-record tool registry generated from source at build. This plan does not stand those up; it migrates FindCare's capability contracts into that topology. Standing up the components, and generating the registry, belong to the reference and to a later artifact, and are out of scope here the way §6 scopes out EvaluateCare — named, so their absence is a decision and not an oversight. Where each capability finally runs — co-resident with the main, or a satellite reached through the proxy — is a deployment fact tuned from the ledger's timings, not a phase here; the tools are location-blind either way.</w:t>
      </w:r>
    </w:p>
    <w:p>
      <w:pPr/>
      <w:r>
        <w:t>Three target placements this plan inherits rather than invents. Session maintenance, session timeouts and session security, the shared library's serial deterministic merge, and the render ledger — which reconciles a page against that page's required_members within a completeness budget, answering a timeout in layman's terms and raising on a merge conflict or a dead required member — move out of app.py into the UniversalNavigator, not into any capability module. The five call types — tool_to_tool, third_party_callback, static_witness, client_sessioned, internal_callback — are the closed set every route named below is an instance of, each carrying its proof and its timeout facts. And the four artifacts that carry the map's job today — the tool contracts, the dispatch table, the router's allowlist, and the UtteranceManager's routing prompt — converge into that one registry: presence in it is the allowlist, subscriptions are the dispatch table, and the prompt fragments assemble the routing table.</w:t>
      </w:r>
    </w:p>
    <w:p>
      <w:pPr/>
      <w:r>
        <w:t xml:space="preserve">The flows the target runs are the seams these phases draw. The target names twelve: six by request type, one for each way a call crosses our boundary, and six by page, one for each thing the application constructs. A request-type flow is triaged at the UniversalNavigator by the proof its route declares — the client_sessioned utterance and the client_sessioned gesture on a session token, the tool_to_tool hop on none, the internal_callback on our own signature, the third_party_callback on a kept api_key, the static_witness on none — while the Gate verifies none of it and dispatches only to the navigator. A page-type flow — care giver, facility, clinical trial, and the three details — is reconciled by the render ledger against that page's required_members within its completeness budget. This plan does not draw the sequence diagrams; those are the reference's, one per flow. It draws the seams: Phase 1 and the route split carry the client_sessioned, tool_to_tool and internal_callback types onto the base contract and the throw discipline, Phase 5a carries the third_party_callback and the static_witness, and the page seams land as each migrated capability becomes a member of the page it composes. A capability that has moved but names no page it belongs to is a seam half-drawn, and the check that catches it is the registry's page-membership rule, not this plan's.</w:t>
      </w:r>
    </w:p>
    <w:p>
      <w:pPr>
        <w:pStyle w:val="Heading2"/>
      </w:pPr>
      <w:r>
        <w:t>0. The exit criterion, first</w:t>
      </w:r>
    </w:p>
    <w:p>
      <w:r>
        <w:t>This plan is finished when three commands agree, and not before.</w:t>
      </w:r>
    </w:p>
    <w:p>
      <w:pPr>
        <w:spacing w:after="0"/>
        <w:ind w:left="360"/>
      </w:pPr>
      <w:r>
        <w:rPr>
          <w:rFonts w:ascii="Courier New" w:hAnsi="Courier New"/>
          <w:sz w:val="22"/>
        </w:rPr>
        <w:t>git ls-files Code                    -&gt;  empty</w:t>
      </w:r>
    </w:p>
    <w:p>
      <w:pPr>
        <w:spacing w:after="0"/>
        <w:ind w:left="360"/>
      </w:pPr>
      <w:r>
        <w:rPr>
          <w:rFonts w:ascii="Courier New" w:hAnsi="Courier New"/>
          <w:sz w:val="22"/>
        </w:rPr>
        <w:t>test -d Code                         -&gt;  false</w:t>
      </w:r>
    </w:p>
    <w:p>
      <w:pPr>
        <w:spacing w:after="0"/>
        <w:ind w:left="360"/>
      </w:pPr>
      <w:r>
        <w:rPr>
          <w:rFonts w:ascii="Courier New" w:hAnsi="Courier New"/>
          <w:sz w:val="22"/>
        </w:rPr>
        <w:t>grep -rn "Code/" --include=* .       -&gt;  no hit from any source file,</w:t>
      </w:r>
    </w:p>
    <w:p>
      <w:pPr>
        <w:spacing w:after="0"/>
        <w:ind w:left="360"/>
      </w:pPr>
      <w:r>
        <w:rPr>
          <w:rFonts w:ascii="Courier New" w:hAnsi="Courier New"/>
          <w:sz w:val="22"/>
        </w:rPr>
        <w:t xml:space="preserve">                                         config, build script, test, or</w:t>
      </w:r>
    </w:p>
    <w:p>
      <w:pPr>
        <w:spacing w:after="0"/>
        <w:ind w:left="360"/>
      </w:pPr>
      <w:r>
        <w:rPr>
          <w:rFonts w:ascii="Courier New" w:hAnsi="Courier New"/>
          <w:sz w:val="22"/>
        </w:rPr>
        <w:t xml:space="preserve">                                         record</w:t>
      </w:r>
    </w:p>
    <w:p/>
    <w:p>
      <w:r>
        <w:t>That is not a summary of the plan. It is the plan's definition of done, it is mechanical, and it is the one claim about this work that cannot be softened by anybody's judgement — mine included.</w:t>
      </w:r>
    </w:p>
    <w:p>
      <w:r>
        <w:rPr>
          <w:b/>
        </w:rPr>
        <w:t>Why the directory must go.</w:t>
      </w:r>
      <w:r>
        <w:t xml:space="preserve"> The code tree mirrors the epic and feature tree, because that tree is the organisation and the general ledger expressed once. A file under </w:t>
      </w:r>
      <w:r>
        <w:rPr>
          <w:rFonts w:ascii="Consolas" w:hAnsi="Consolas"/>
          <w:sz w:val="17"/>
        </w:rPr>
        <w:t>Code/</w:t>
      </w:r>
      <w:r>
        <w:t xml:space="preserve"> belongs to no feature, so the record cannot name its owner, no cost centre carries it, and no requirement authorises it. Seventy-one tracked files are in that position today. The architecture is not partly true while they remain; it is a description of a different repository.</w:t>
      </w:r>
    </w:p>
    <w:p>
      <w:pPr>
        <w:pStyle w:val="Heading2"/>
      </w:pPr>
      <w:r>
        <w:t>1. Why the measurement is built before the change</w:t>
      </w:r>
    </w:p>
    <w:p>
      <w:r>
        <w:t>The state being migrated away from is the output of a previous refactor. So the question is not what to change — that is settled — but why the result holds this time.</w:t>
      </w:r>
    </w:p>
    <w:p>
      <w:r>
        <w:t>Every gate in this firm checks that a declaration is well formed and that the declared thing is present. None checks that the declaration is true. That single gap produced, with a green build throughout: eighty-eight percent of declared files attributed to the wrong feature; a capability catalogue stated in three places with three different contents; a tool declared and shipped that nothing imports, beside a tool that runs and is declared nowhere; and a conformance check that reports green while the principle it tests is violated in nine places.</w:t>
      </w:r>
    </w:p>
    <w:p>
      <w:r>
        <w:t>A plan that installs its measurement at the end spends its whole length on judgement and then finds out. So Phase 0 builds the gates, and every later phase is measured by them.</w:t>
      </w:r>
    </w:p>
    <w:p>
      <w:r>
        <w:rPr>
          <w:b/>
        </w:rPr>
        <w:t>And the gates must name effects, not spellings.</w:t>
      </w:r>
      <w:r>
        <w:t xml:space="preserve"> A check that names a mechanism inherits that mechanism's lifetime; a check that names an effect outlives it. The check that reports green today does so because it was written from a description of a bypass that no longer exists while the real bypass runs untouched. Every gate in Phase 0 is written from behaviour and must exhibit a live true positive before it counts as built: a check that has never gone red against a real violation is a hypothesis.</w:t>
      </w:r>
    </w:p>
    <w:p>
      <w:pPr>
        <w:pStyle w:val="Heading2"/>
      </w:pPr>
      <w:r>
        <w:t>2. Four decisions I cannot take</w:t>
      </w:r>
    </w:p>
    <w:p>
      <w:r>
        <w:t>Each is architecture. Each blocks a phase. None is large.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decision</w:t>
            </w:r>
          </w:p>
        </w:tc>
        <w:tc>
          <w:tcPr>
            <w:tcW w:type="dxa" w:w="2160"/>
          </w:tcPr>
          <w:p>
            <w:r>
              <w:rPr>
                <w:b/>
                <w:sz w:val="22"/>
              </w:rPr>
            </w:r>
            <w:r>
              <w:rPr>
                <w:b/>
                <w:sz w:val="22"/>
              </w:rPr>
              <w:t>why it is yours</w:t>
            </w:r>
          </w:p>
        </w:tc>
        <w:tc>
          <w:tcPr>
            <w:tcW w:type="dxa" w:w="2160"/>
          </w:tcPr>
          <w:p>
            <w:r>
              <w:rPr>
                <w:b/>
                <w:sz w:val="22"/>
              </w:rPr>
            </w:r>
            <w:r>
              <w:rPr>
                <w:b/>
                <w:sz w:val="22"/>
              </w:rPr>
              <w:t>options</w:t>
            </w:r>
          </w:p>
        </w:tc>
      </w:tr>
      <w:tr>
        <w:tc>
          <w:tcPr>
            <w:tcW w:type="dxa" w:w="2160"/>
          </w:tcPr>
          <w:p>
            <w:r>
              <w:rPr>
                <w:sz w:val="22"/>
              </w:rPr>
            </w:r>
            <w:r>
              <w:rPr>
                <w:sz w:val="22"/>
              </w:rPr>
              <w:t>D1</w:t>
            </w:r>
          </w:p>
        </w:tc>
        <w:tc>
          <w:tcPr>
            <w:tcW w:type="dxa" w:w="2160"/>
          </w:tcPr>
          <w:p>
            <w:r>
              <w:rPr>
                <w:sz w:val="22"/>
              </w:rPr>
            </w:r>
            <w:r>
              <w:rPr>
                <w:sz w:val="22"/>
              </w:rPr>
              <w:t>Where do tests live?</w:t>
            </w:r>
          </w:p>
        </w:tc>
        <w:tc>
          <w:tcPr>
            <w:tcW w:type="dxa" w:w="2160"/>
          </w:tcPr>
          <w:p>
            <w:r>
              <w:rPr>
                <w:sz w:val="22"/>
              </w:rPr>
            </w:r>
            <w:r>
              <w:rPr>
                <w:sz w:val="22"/>
              </w:rPr>
              <w:t>16 test files have no feature home, and no convention exists. Inventing one is inventing architecture.</w:t>
            </w:r>
          </w:p>
        </w:tc>
        <w:tc>
          <w:tcPr>
            <w:tcW w:type="dxa" w:w="2160"/>
          </w:tcPr>
          <w:p>
            <w:r>
              <w:rPr>
                <w:sz w:val="22"/>
              </w:rPr>
            </w:r>
            <w:r>
              <w:rPr>
                <w:sz w:val="22"/>
              </w:rPr>
              <w:t xml:space="preserve">per-feature </w:t>
            </w:r>
            <w:r>
              <w:rPr>
                <w:rFonts w:ascii="Consolas" w:hAnsi="Consolas"/>
                <w:sz w:val="22"/>
              </w:rPr>
              <w:t>tests/</w:t>
            </w:r>
            <w:r>
              <w:rPr>
                <w:sz w:val="22"/>
              </w:rPr>
              <w:t xml:space="preserve">; one top-level </w:t>
            </w:r>
            <w:r>
              <w:rPr>
                <w:rFonts w:ascii="Consolas" w:hAnsi="Consolas"/>
                <w:sz w:val="22"/>
              </w:rPr>
              <w:t>tests/</w:t>
            </w:r>
            <w:r>
              <w:rPr>
                <w:sz w:val="22"/>
              </w:rPr>
              <w:t xml:space="preserve"> mirroring the feature tree; or the existing </w:t>
            </w:r>
            <w:r>
              <w:rPr>
                <w:rFonts w:ascii="Consolas" w:hAnsi="Consolas"/>
                <w:sz w:val="22"/>
              </w:rPr>
              <w:t>architecture/*/tests/</w:t>
            </w:r>
            <w:r>
              <w:rPr>
                <w:sz w:val="22"/>
              </w:rPr>
              <w:t xml:space="preserve"> pattern</w:t>
            </w:r>
          </w:p>
        </w:tc>
      </w:tr>
      <w:tr>
        <w:tc>
          <w:tcPr>
            <w:tcW w:type="dxa" w:w="2160"/>
          </w:tcPr>
          <w:p>
            <w:r>
              <w:rPr>
                <w:sz w:val="22"/>
              </w:rPr>
            </w:r>
            <w:r>
              <w:rPr>
                <w:sz w:val="22"/>
              </w:rPr>
              <w:t>D2</w:t>
            </w:r>
          </w:p>
        </w:tc>
        <w:tc>
          <w:tcPr>
            <w:tcW w:type="dxa" w:w="2160"/>
          </w:tcPr>
          <w:p>
            <w:r>
              <w:rPr>
                <w:sz w:val="22"/>
              </w:rPr>
            </w:r>
            <w:r>
              <w:rPr>
                <w:sz w:val="22"/>
              </w:rPr>
              <w:t>Where does the React app shell live?</w:t>
            </w:r>
          </w:p>
        </w:tc>
        <w:tc>
          <w:tcPr>
            <w:tcW w:type="dxa" w:w="2160"/>
          </w:tcPr>
          <w:p>
            <w:r>
              <w:rPr>
                <w:sz w:val="22"/>
              </w:rPr>
            </w:r>
            <w:r>
              <w:rPr>
                <w:rFonts w:ascii="Consolas" w:hAnsi="Consolas"/>
                <w:sz w:val="22"/>
              </w:rPr>
              <w:t>index.html</w:t>
            </w:r>
            <w:r>
              <w:rPr>
                <w:sz w:val="22"/>
              </w:rPr>
              <w:t xml:space="preserve">, </w:t>
            </w:r>
            <w:r>
              <w:rPr>
                <w:rFonts w:ascii="Consolas" w:hAnsi="Consolas"/>
                <w:sz w:val="22"/>
              </w:rPr>
              <w:t>main.tsx</w:t>
            </w:r>
            <w:r>
              <w:rPr>
                <w:sz w:val="22"/>
              </w:rPr>
              <w:t xml:space="preserve">, </w:t>
            </w:r>
            <w:r>
              <w:rPr>
                <w:rFonts w:ascii="Consolas" w:hAnsi="Consolas"/>
                <w:sz w:val="22"/>
              </w:rPr>
              <w:t>App.tsx</w:t>
            </w:r>
            <w:r>
              <w:rPr>
                <w:sz w:val="22"/>
              </w:rPr>
              <w:t xml:space="preserve">, </w:t>
            </w:r>
            <w:r>
              <w:rPr>
                <w:rFonts w:ascii="Consolas" w:hAnsi="Consolas"/>
                <w:sz w:val="22"/>
              </w:rPr>
              <w:t>vite-env.d.ts</w:t>
            </w:r>
            <w:r>
              <w:rPr>
                <w:sz w:val="22"/>
              </w:rPr>
              <w:t xml:space="preserve">, </w:t>
            </w:r>
            <w:r>
              <w:rPr>
                <w:rFonts w:ascii="Consolas" w:hAnsi="Consolas"/>
                <w:sz w:val="22"/>
              </w:rPr>
              <w:t>.env.example</w:t>
            </w:r>
            <w:r>
              <w:rPr>
                <w:sz w:val="22"/>
              </w:rPr>
              <w:t xml:space="preserve">, </w:t>
            </w:r>
            <w:r>
              <w:rPr>
                <w:rFonts w:ascii="Consolas" w:hAnsi="Consolas"/>
                <w:sz w:val="22"/>
              </w:rPr>
              <w:t>_redirects</w:t>
            </w:r>
            <w:r>
              <w:rPr>
                <w:sz w:val="22"/>
              </w:rPr>
              <w:t xml:space="preserve"> are the application itself, not any one feature.</w:t>
            </w:r>
          </w:p>
        </w:tc>
        <w:tc>
          <w:tcPr>
            <w:tcW w:type="dxa" w:w="2160"/>
          </w:tcPr>
          <w:p>
            <w:r>
              <w:rPr>
                <w:sz w:val="22"/>
              </w:rPr>
            </w:r>
            <w:r>
              <w:rPr>
                <w:sz w:val="22"/>
              </w:rPr>
              <w:t xml:space="preserve">a top-level </w:t>
            </w:r>
            <w:r>
              <w:rPr>
                <w:rFonts w:ascii="Consolas" w:hAnsi="Consolas"/>
                <w:sz w:val="22"/>
              </w:rPr>
              <w:t>app/</w:t>
            </w:r>
            <w:r>
              <w:rPr>
                <w:sz w:val="22"/>
              </w:rPr>
              <w:t xml:space="preserve">; </w:t>
            </w:r>
            <w:r>
              <w:rPr>
                <w:rFonts w:ascii="Consolas" w:hAnsi="Consolas"/>
                <w:sz w:val="22"/>
              </w:rPr>
              <w:t>sharedServices/Code/displayChrome/</w:t>
            </w:r>
            <w:r>
              <w:rPr>
                <w:sz w:val="22"/>
              </w:rPr>
              <w:t xml:space="preserve">; or </w:t>
            </w:r>
            <w:r>
              <w:rPr>
                <w:rFonts w:ascii="Consolas" w:hAnsi="Consolas"/>
                <w:sz w:val="22"/>
              </w:rPr>
              <w:t>Website/</w:t>
            </w:r>
            <w:r>
              <w:rPr>
                <w:sz w:val="22"/>
              </w:rPr>
              <w:t xml:space="preserve"> beside the wrapper</w:t>
            </w:r>
          </w:p>
        </w:tc>
      </w:tr>
      <w:tr>
        <w:tc>
          <w:tcPr>
            <w:tcW w:type="dxa" w:w="2160"/>
          </w:tcPr>
          <w:p>
            <w:r>
              <w:rPr>
                <w:sz w:val="22"/>
              </w:rPr>
            </w:r>
            <w:r>
              <w:rPr>
                <w:sz w:val="22"/>
              </w:rPr>
              <w:t>D3</w:t>
            </w:r>
          </w:p>
        </w:tc>
        <w:tc>
          <w:tcPr>
            <w:tcW w:type="dxa" w:w="2160"/>
          </w:tcPr>
          <w:p>
            <w:r>
              <w:rPr>
                <w:sz w:val="22"/>
              </w:rPr>
            </w:r>
            <w:r>
              <w:rPr>
                <w:sz w:val="22"/>
              </w:rPr>
              <w:t>Where do the local certificates live?</w:t>
            </w:r>
          </w:p>
        </w:tc>
        <w:tc>
          <w:tcPr>
            <w:tcW w:type="dxa" w:w="2160"/>
          </w:tcPr>
          <w:p>
            <w:r>
              <w:rPr>
                <w:sz w:val="22"/>
              </w:rPr>
            </w:r>
            <w:r>
              <w:rPr>
                <w:sz w:val="22"/>
              </w:rPr>
              <w:t xml:space="preserve">Six </w:t>
            </w:r>
            <w:r>
              <w:rPr>
                <w:rFonts w:ascii="Consolas" w:hAnsi="Consolas"/>
                <w:sz w:val="22"/>
              </w:rPr>
              <w:t>.crt</w:t>
            </w:r>
            <w:r>
              <w:rPr>
                <w:sz w:val="22"/>
              </w:rPr>
              <w:t xml:space="preserve"> files. Deploy may resolve them by path, and moving a certificate is a security-surface change.</w:t>
            </w:r>
          </w:p>
        </w:tc>
        <w:tc>
          <w:tcPr>
            <w:tcW w:type="dxa" w:w="2160"/>
          </w:tcPr>
          <w:p>
            <w:r>
              <w:rPr>
                <w:sz w:val="22"/>
              </w:rPr>
            </w:r>
            <w:r>
              <w:rPr>
                <w:rFonts w:ascii="Consolas" w:hAnsi="Consolas"/>
                <w:sz w:val="22"/>
              </w:rPr>
              <w:t>architecture/IdentityCertificatesAndAuthentications/</w:t>
            </w:r>
            <w:r>
              <w:rPr>
                <w:sz w:val="22"/>
              </w:rPr>
              <w:t>; keep them out of git entirely and mint on demand; or a decision that they are already dead</w:t>
            </w:r>
          </w:p>
        </w:tc>
      </w:tr>
      <w:tr>
        <w:tc>
          <w:tcPr>
            <w:tcW w:type="dxa" w:w="2160"/>
          </w:tcPr>
          <w:p>
            <w:r>
              <w:rPr>
                <w:sz w:val="22"/>
              </w:rPr>
            </w:r>
            <w:r>
              <w:rPr>
                <w:sz w:val="22"/>
              </w:rPr>
              <w:t>D4</w:t>
            </w:r>
          </w:p>
        </w:tc>
        <w:tc>
          <w:tcPr>
            <w:tcW w:type="dxa" w:w="2160"/>
          </w:tcPr>
          <w:p>
            <w:r>
              <w:rPr>
                <w:sz w:val="22"/>
              </w:rPr>
            </w:r>
            <w:r>
              <w:rPr>
                <w:rFonts w:ascii="Consolas" w:hAnsi="Consolas"/>
                <w:sz w:val="22"/>
              </w:rPr>
              <w:t>prompt_system_maker.py</w:t>
            </w:r>
          </w:p>
        </w:tc>
        <w:tc>
          <w:tcPr>
            <w:tcW w:type="dxa" w:w="2160"/>
          </w:tcPr>
          <w:p>
            <w:r>
              <w:rPr>
                <w:sz w:val="22"/>
              </w:rPr>
            </w:r>
            <w:r>
              <w:rPr>
                <w:sz w:val="22"/>
              </w:rPr>
              <w:t>324 lines, one file, no obvious owner. Prompts are data under the target architecture, so a tool that makes them may belong to the brain rather than to code.</w:t>
            </w:r>
          </w:p>
        </w:tc>
        <w:tc>
          <w:tcPr>
            <w:tcW w:type="dxa" w:w="2160"/>
          </w:tcPr>
          <w:p>
            <w:r>
              <w:rPr>
                <w:sz w:val="22"/>
              </w:rPr>
            </w:r>
            <w:r>
              <w:rPr>
                <w:rFonts w:ascii="Consolas" w:hAnsi="Consolas"/>
                <w:sz w:val="22"/>
              </w:rPr>
              <w:t>architecture/EngineeringRuleEnforcement/</w:t>
            </w:r>
            <w:r>
              <w:rPr>
                <w:sz w:val="22"/>
              </w:rPr>
              <w:t xml:space="preserve">; a prompts tool beside </w:t>
            </w:r>
            <w:r>
              <w:rPr>
                <w:rFonts w:ascii="Consolas" w:hAnsi="Consolas"/>
                <w:sz w:val="22"/>
              </w:rPr>
              <w:t>prompts.json</w:t>
            </w:r>
            <w:r>
              <w:rPr>
                <w:sz w:val="22"/>
              </w:rPr>
              <w:t>; or delete if superseded</w:t>
            </w:r>
          </w:p>
        </w:tc>
      </w:tr>
    </w:tbl>
    <w:p/>
    <w:p>
      <w:r>
        <w:rPr>
          <w:b/>
        </w:rPr>
        <w:t>One further item is an authorisation rather than a decision.</w:t>
      </w:r>
      <w:r>
        <w:t xml:space="preserve"> </w:t>
      </w:r>
      <w:r>
        <w:rPr>
          <w:rFonts w:ascii="Consolas" w:hAnsi="Consolas"/>
          <w:sz w:val="17"/>
        </w:rPr>
        <w:t>Code/Shared/ops/tools/chathealthy_devops_boot.py</w:t>
      </w:r>
      <w:r>
        <w:t xml:space="preserve"> is named as </w:t>
      </w:r>
      <w:r>
        <w:rPr>
          <w:rFonts w:ascii="Consolas" w:hAnsi="Consolas"/>
          <w:sz w:val="17"/>
        </w:rPr>
        <w:t>executable_path</w:t>
      </w:r>
      <w:r>
        <w:t xml:space="preserve"> in Rule-002. Moving it edits an engineering rule, which is a governance change and needs your explicit go at the moment it fires.</w:t>
      </w:r>
    </w:p>
    <w:p>
      <w:pPr>
        <w:pStyle w:val="Heading2"/>
      </w:pPr>
      <w:r>
        <w:t>3. The phases</w:t>
      </w:r>
    </w:p>
    <w:p>
      <w:r>
        <w:t>Each phase depends on the one before. Nothing here runs in parallel, because every phase moves the number the next one is measured against.</w:t>
      </w:r>
    </w:p>
    <w:p>
      <w:pPr>
        <w:pStyle w:val="Heading3"/>
      </w:pPr>
      <w:r>
        <w:t>Phase 0 — the gates</w:t>
      </w:r>
    </w:p>
    <w:p>
      <w:r>
        <w:t>Three checks, written from behaviour, each demonstrated red against a real violation before it is accepted.</w:t>
      </w:r>
    </w:p>
    <w:p>
      <w:pPr>
        <w:pStyle w:val="ListNumber"/>
      </w:pPr>
      <w:r>
        <w:rPr>
          <w:b/>
        </w:rPr>
        <w:t>No reference to `Code/`.</w:t>
      </w:r>
      <w:r>
        <w:t xml:space="preserve"> Fails on any path under </w:t>
      </w:r>
      <w:r>
        <w:rPr>
          <w:rFonts w:ascii="Consolas" w:hAnsi="Consolas"/>
          <w:sz w:val="17"/>
        </w:rPr>
        <w:t>Code/</w:t>
      </w:r>
      <w:r>
        <w:t xml:space="preserve"> appearing</w:t>
      </w:r>
    </w:p>
    <w:p>
      <w:r>
        <w:t>in a source file, a build script, a test, a config or the deployment record. It is red today by design — it measures the work.</w:t>
      </w:r>
    </w:p>
    <w:p>
      <w:pPr>
        <w:pStyle w:val="ListNumber"/>
      </w:pPr>
      <w:r>
        <w:rPr>
          <w:b/>
        </w:rPr>
        <w:t>Declared equals dispatched.</w:t>
      </w:r>
      <w:r>
        <w:t xml:space="preserve"> Reads the router's dispatch table, the</w:t>
      </w:r>
    </w:p>
    <w:p>
      <w:r>
        <w:t>tool modules on disk, and the declaration; fails in either direction — a tool that runs and is not declared, or is declared and not reachable. At the target this gate's inputs converge into the one registry: the router's dispatch table becomes the registry's subscriptions and the declaration becomes the registry entry, so declared-equals-dispatched is one document checked against the disk.</w:t>
      </w:r>
    </w:p>
    <w:p>
      <w:pPr>
        <w:pStyle w:val="ListNumber"/>
      </w:pPr>
      <w:r>
        <w:rPr>
          <w:b/>
        </w:rPr>
        <w:t>A capability is complete.</w:t>
      </w:r>
      <w:r>
        <w:t xml:space="preserve"> Fails where a capability lacks one of its</w:t>
      </w:r>
    </w:p>
    <w:p>
      <w:r>
        <w:t>four tools, or where a tool is declared without a server and an endpoint.</w:t>
      </w:r>
    </w:p>
    <w:p>
      <w:r>
        <w:rPr>
          <w:i/>
        </w:rPr>
        <w:t>Proof:</w:t>
      </w:r>
      <w:r>
        <w:t xml:space="preserve"> each of the three goes red against a violation that exists today, and the numbers are recorded as the baseline. No code has moved.</w:t>
      </w:r>
    </w:p>
    <w:p>
      <w:r>
        <w:rPr>
          <w:i/>
        </w:rPr>
        <w:t>Note on the baseline:</w:t>
      </w:r>
      <w:r>
        <w:t xml:space="preserve"> two careful readings of the same code produced different counts of conforming tools, because they disagreed about what conformance means at the edges. This plan therefore asserts no figure. Whatever the gate says on its first run is the baseline.</w:t>
      </w:r>
    </w:p>
    <w:p>
      <w:pPr>
        <w:pStyle w:val="Heading3"/>
      </w:pPr>
      <w:r>
        <w:t>Phase 1 — the contract</w:t>
      </w:r>
    </w:p>
    <w:p>
      <w:r>
        <w:t>One base contract in the library: what a capability's search takes (the utterance and the prior dialogue, and nothing else), what it returns, how it fails, and where it is served — read from the declaration rather than written into the caller.</w:t>
      </w:r>
    </w:p>
    <w:p>
      <w:pPr/>
      <w:r>
        <w:t>The same contract is where the classifier retires. The hand-maintained classifier prompt, the intent taxonomy and the classification machinery do not survive the target: they become the UtteranceManager's cached preamble plus the registry-assembled fragments, answered in one model call, with user-facing prose a separate tool. This plan does not build the UtteranceManager, but a capability whose search moves onto the base contract is a capability whose classifier retires as its routes go, so the seam is drawn here and closed where the registry lands.</w:t>
      </w:r>
    </w:p>
    <w:p>
      <w:r>
        <w:t>This is first among the changes because splitting fourteen routes without it produces five modules that disagree in the same ways the fourteen routes disagree now.</w:t>
      </w:r>
    </w:p>
    <w:p>
      <w:r>
        <w:rPr>
          <w:i/>
        </w:rPr>
        <w:t>Proof:</w:t>
      </w:r>
      <w:r>
        <w:t xml:space="preserve"> the contract exists, gate 2 can test conformance against it, and no number moves.</w:t>
      </w:r>
    </w:p>
    <w:p>
      <w:pPr>
        <w:pStyle w:val="Heading3"/>
      </w:pPr>
      <w:r>
        <w:t>Phase 2 — the low-risk half of `Code/`</w:t>
      </w:r>
    </w:p>
    <w:p>
      <w:r>
        <w:t>Thirty-one files, no runtime behaviour change, done in one pass per group.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group</w:t>
            </w:r>
          </w:p>
        </w:tc>
        <w:tc>
          <w:tcPr>
            <w:tcW w:type="dxa" w:w="2880"/>
          </w:tcPr>
          <w:p>
            <w:r>
              <w:rPr>
                <w:b/>
                <w:sz w:val="22"/>
              </w:rPr>
            </w:r>
            <w:r>
              <w:rPr>
                <w:b/>
                <w:sz w:val="22"/>
              </w:rPr>
              <w:t>n</w:t>
            </w:r>
          </w:p>
        </w:tc>
        <w:tc>
          <w:tcPr>
            <w:tcW w:type="dxa" w:w="2880"/>
          </w:tcPr>
          <w:p>
            <w:r>
              <w:rPr>
                <w:b/>
                <w:sz w:val="22"/>
              </w:rPr>
            </w:r>
            <w:r>
              <w:rPr>
                <w:b/>
                <w:sz w:val="22"/>
              </w:rPr>
              <w:t>action</w:t>
            </w:r>
          </w:p>
        </w:tc>
      </w:tr>
      <w:tr>
        <w:tc>
          <w:tcPr>
            <w:tcW w:type="dxa" w:w="2880"/>
          </w:tcPr>
          <w:p>
            <w:r>
              <w:rPr>
                <w:sz w:val="22"/>
              </w:rPr>
            </w:r>
            <w:r>
              <w:rPr>
                <w:rFonts w:ascii="Consolas" w:hAnsi="Consolas"/>
                <w:sz w:val="22"/>
              </w:rPr>
              <w:t>llm_client.py</w:t>
            </w:r>
          </w:p>
        </w:tc>
        <w:tc>
          <w:tcPr>
            <w:tcW w:type="dxa" w:w="2880"/>
          </w:tcPr>
          <w:p>
            <w:r>
              <w:rPr>
                <w:sz w:val="22"/>
              </w:rPr>
            </w:r>
            <w:r>
              <w:rPr>
                <w:sz w:val="22"/>
              </w:rPr>
              <w:t>1</w:t>
            </w:r>
          </w:p>
        </w:tc>
        <w:tc>
          <w:tcPr>
            <w:tcW w:type="dxa" w:w="2880"/>
          </w:tcPr>
          <w:p>
            <w:r>
              <w:rPr>
                <w:sz w:val="22"/>
              </w:rPr>
            </w:r>
            <w:r>
              <w:rPr>
                <w:sz w:val="22"/>
              </w:rPr>
              <w:t>delete — no importer anywhere in the repository</w:t>
            </w:r>
          </w:p>
        </w:tc>
      </w:tr>
      <w:tr>
        <w:tc>
          <w:tcPr>
            <w:tcW w:type="dxa" w:w="2880"/>
          </w:tcPr>
          <w:p>
            <w:r>
              <w:rPr>
                <w:sz w:val="22"/>
              </w:rPr>
            </w:r>
            <w:r>
              <w:rPr>
                <w:rFonts w:ascii="Consolas" w:hAnsi="Consolas"/>
                <w:sz w:val="22"/>
              </w:rPr>
              <w:t>promote_data.py</w:t>
            </w:r>
          </w:p>
        </w:tc>
        <w:tc>
          <w:tcPr>
            <w:tcW w:type="dxa" w:w="2880"/>
          </w:tcPr>
          <w:p>
            <w:r>
              <w:rPr>
                <w:sz w:val="22"/>
              </w:rPr>
            </w:r>
            <w:r>
              <w:rPr>
                <w:sz w:val="22"/>
              </w:rPr>
              <w:t>1</w:t>
            </w:r>
          </w:p>
        </w:tc>
        <w:tc>
          <w:tcPr>
            <w:tcW w:type="dxa" w:w="2880"/>
          </w:tcPr>
          <w:p>
            <w:r>
              <w:rPr>
                <w:sz w:val="22"/>
              </w:rPr>
            </w:r>
            <w:r>
              <w:rPr>
                <w:sz w:val="22"/>
              </w:rPr>
              <w:t>delete — an undeclared writer holding drop-and-refill on the served database</w:t>
            </w:r>
          </w:p>
        </w:tc>
      </w:tr>
      <w:tr>
        <w:tc>
          <w:tcPr>
            <w:tcW w:type="dxa" w:w="2880"/>
          </w:tcPr>
          <w:p>
            <w:r>
              <w:rPr>
                <w:sz w:val="22"/>
              </w:rPr>
            </w:r>
            <w:r>
              <w:rPr>
                <w:sz w:val="22"/>
              </w:rPr>
              <w:t>about content</w:t>
            </w:r>
          </w:p>
        </w:tc>
        <w:tc>
          <w:tcPr>
            <w:tcW w:type="dxa" w:w="2880"/>
          </w:tcPr>
          <w:p>
            <w:r>
              <w:rPr>
                <w:sz w:val="22"/>
              </w:rPr>
            </w:r>
            <w:r>
              <w:rPr>
                <w:sz w:val="22"/>
              </w:rPr>
              <w:t>5</w:t>
            </w:r>
          </w:p>
        </w:tc>
        <w:tc>
          <w:tcPr>
            <w:tcW w:type="dxa" w:w="2880"/>
          </w:tcPr>
          <w:p>
            <w:r>
              <w:rPr>
                <w:sz w:val="22"/>
              </w:rPr>
            </w:r>
            <w:r>
              <w:rPr>
                <w:sz w:val="22"/>
              </w:rPr>
              <w:t xml:space="preserve">move to </w:t>
            </w:r>
            <w:r>
              <w:rPr>
                <w:rFonts w:ascii="Consolas" w:hAnsi="Consolas"/>
                <w:sz w:val="22"/>
              </w:rPr>
              <w:t>sharedServices/Code/AboutChatHealthy/</w:t>
            </w:r>
          </w:p>
        </w:tc>
      </w:tr>
      <w:tr>
        <w:tc>
          <w:tcPr>
            <w:tcW w:type="dxa" w:w="2880"/>
          </w:tcPr>
          <w:p>
            <w:r>
              <w:rPr>
                <w:sz w:val="22"/>
              </w:rPr>
            </w:r>
            <w:r>
              <w:rPr>
                <w:rFonts w:ascii="Consolas" w:hAnsi="Consolas"/>
                <w:sz w:val="22"/>
              </w:rPr>
              <w:t>Shared/ops/*</w:t>
            </w:r>
            <w:r>
              <w:rPr>
                <w:sz w:val="22"/>
              </w:rPr>
              <w:t xml:space="preserve"> tooling, Caddyfile, uat_report</w:t>
            </w:r>
          </w:p>
        </w:tc>
        <w:tc>
          <w:tcPr>
            <w:tcW w:type="dxa" w:w="2880"/>
          </w:tcPr>
          <w:p>
            <w:r>
              <w:rPr>
                <w:sz w:val="22"/>
              </w:rPr>
            </w:r>
            <w:r>
              <w:rPr>
                <w:sz w:val="22"/>
              </w:rPr>
              <w:t>9</w:t>
            </w:r>
          </w:p>
        </w:tc>
        <w:tc>
          <w:tcPr>
            <w:tcW w:type="dxa" w:w="2880"/>
          </w:tcPr>
          <w:p>
            <w:r>
              <w:rPr>
                <w:sz w:val="22"/>
              </w:rPr>
            </w:r>
            <w:r>
              <w:rPr>
                <w:sz w:val="22"/>
              </w:rPr>
              <w:t xml:space="preserve">move to </w:t>
            </w:r>
            <w:r>
              <w:rPr>
                <w:rFonts w:ascii="Consolas" w:hAnsi="Consolas"/>
                <w:sz w:val="22"/>
              </w:rPr>
              <w:t>architecture/DevOpsBuildDeployAndEnvironmentManagement/</w:t>
            </w:r>
          </w:p>
        </w:tc>
      </w:tr>
      <w:tr>
        <w:tc>
          <w:tcPr>
            <w:tcW w:type="dxa" w:w="2880"/>
          </w:tcPr>
          <w:p>
            <w:r>
              <w:rPr>
                <w:sz w:val="22"/>
              </w:rPr>
            </w:r>
            <w:r>
              <w:rPr>
                <w:rFonts w:ascii="Consolas" w:hAnsi="Consolas"/>
                <w:sz w:val="22"/>
              </w:rPr>
              <w:t>Shared/ops/tools/*</w:t>
            </w:r>
          </w:p>
        </w:tc>
        <w:tc>
          <w:tcPr>
            <w:tcW w:type="dxa" w:w="2880"/>
          </w:tcPr>
          <w:p>
            <w:r>
              <w:rPr>
                <w:sz w:val="22"/>
              </w:rPr>
            </w:r>
            <w:r>
              <w:rPr>
                <w:sz w:val="22"/>
              </w:rPr>
              <w:t>6</w:t>
            </w:r>
          </w:p>
        </w:tc>
        <w:tc>
          <w:tcPr>
            <w:tcW w:type="dxa" w:w="2880"/>
          </w:tcPr>
          <w:p>
            <w:r>
              <w:rPr>
                <w:sz w:val="22"/>
              </w:rPr>
            </w:r>
            <w:r>
              <w:rPr>
                <w:sz w:val="22"/>
              </w:rPr>
              <w:t xml:space="preserve">move to </w:t>
            </w:r>
            <w:r>
              <w:rPr>
                <w:rFonts w:ascii="Consolas" w:hAnsi="Consolas"/>
                <w:sz w:val="22"/>
              </w:rPr>
              <w:t>architecture/EngineeringRuleEnforcement/</w:t>
            </w:r>
            <w:r>
              <w:rPr>
                <w:sz w:val="22"/>
              </w:rPr>
              <w:t xml:space="preserve"> — includes the Rule-002 authorisation</w:t>
            </w:r>
          </w:p>
        </w:tc>
      </w:tr>
      <w:tr>
        <w:tc>
          <w:tcPr>
            <w:tcW w:type="dxa" w:w="2880"/>
          </w:tcPr>
          <w:p>
            <w:r>
              <w:rPr>
                <w:sz w:val="22"/>
              </w:rPr>
            </w:r>
            <w:r>
              <w:rPr>
                <w:sz w:val="22"/>
              </w:rPr>
              <w:t>certs</w:t>
            </w:r>
          </w:p>
        </w:tc>
        <w:tc>
          <w:tcPr>
            <w:tcW w:type="dxa" w:w="2880"/>
          </w:tcPr>
          <w:p>
            <w:r>
              <w:rPr>
                <w:sz w:val="22"/>
              </w:rPr>
            </w:r>
            <w:r>
              <w:rPr>
                <w:sz w:val="22"/>
              </w:rPr>
              <w:t>6</w:t>
            </w:r>
          </w:p>
        </w:tc>
        <w:tc>
          <w:tcPr>
            <w:tcW w:type="dxa" w:w="2880"/>
          </w:tcPr>
          <w:p>
            <w:r>
              <w:rPr>
                <w:sz w:val="22"/>
              </w:rPr>
            </w:r>
            <w:r>
              <w:rPr>
                <w:sz w:val="22"/>
              </w:rPr>
              <w:t xml:space="preserve">per </w:t>
            </w:r>
            <w:r>
              <w:rPr>
                <w:b/>
                <w:sz w:val="22"/>
              </w:rPr>
              <w:t>D3</w:t>
            </w:r>
          </w:p>
        </w:tc>
      </w:tr>
      <w:tr>
        <w:tc>
          <w:tcPr>
            <w:tcW w:type="dxa" w:w="2880"/>
          </w:tcPr>
          <w:p>
            <w:r>
              <w:rPr>
                <w:sz w:val="22"/>
              </w:rPr>
            </w:r>
            <w:r>
              <w:rPr>
                <w:rFonts w:ascii="Consolas" w:hAnsi="Consolas"/>
                <w:sz w:val="22"/>
              </w:rPr>
              <w:t>prompt_system_maker.py</w:t>
            </w:r>
          </w:p>
        </w:tc>
        <w:tc>
          <w:tcPr>
            <w:tcW w:type="dxa" w:w="2880"/>
          </w:tcPr>
          <w:p>
            <w:r>
              <w:rPr>
                <w:sz w:val="22"/>
              </w:rPr>
            </w:r>
            <w:r>
              <w:rPr>
                <w:sz w:val="22"/>
              </w:rPr>
              <w:t>1</w:t>
            </w:r>
          </w:p>
        </w:tc>
        <w:tc>
          <w:tcPr>
            <w:tcW w:type="dxa" w:w="2880"/>
          </w:tcPr>
          <w:p>
            <w:r>
              <w:rPr>
                <w:sz w:val="22"/>
              </w:rPr>
            </w:r>
            <w:r>
              <w:rPr>
                <w:sz w:val="22"/>
              </w:rPr>
              <w:t xml:space="preserve">per </w:t>
            </w:r>
            <w:r>
              <w:rPr>
                <w:b/>
                <w:sz w:val="22"/>
              </w:rPr>
              <w:t>D4</w:t>
            </w:r>
          </w:p>
        </w:tc>
      </w:tr>
      <w:tr>
        <w:tc>
          <w:tcPr>
            <w:tcW w:type="dxa" w:w="2880"/>
          </w:tcPr>
          <w:p>
            <w:r>
              <w:rPr>
                <w:sz w:val="22"/>
              </w:rPr>
            </w:r>
            <w:r>
              <w:rPr>
                <w:rFonts w:ascii="Consolas" w:hAnsi="Consolas"/>
                <w:sz w:val="22"/>
              </w:rPr>
              <w:t>skip_pipelineTest.http</w:t>
            </w:r>
          </w:p>
        </w:tc>
        <w:tc>
          <w:tcPr>
            <w:tcW w:type="dxa" w:w="2880"/>
          </w:tcPr>
          <w:p>
            <w:r>
              <w:rPr>
                <w:sz w:val="22"/>
              </w:rPr>
            </w:r>
            <w:r>
              <w:rPr>
                <w:sz w:val="22"/>
              </w:rPr>
              <w:t>1</w:t>
            </w:r>
          </w:p>
        </w:tc>
        <w:tc>
          <w:tcPr>
            <w:tcW w:type="dxa" w:w="2880"/>
          </w:tcPr>
          <w:p>
            <w:r>
              <w:rPr>
                <w:sz w:val="22"/>
              </w:rPr>
            </w:r>
            <w:r>
              <w:rPr>
                <w:sz w:val="22"/>
              </w:rPr>
              <w:t>delete — a scratch HTTP file</w:t>
            </w:r>
          </w:p>
        </w:tc>
      </w:tr>
      <w:tr>
        <w:tc>
          <w:tcPr>
            <w:tcW w:type="dxa" w:w="2880"/>
          </w:tcPr>
          <w:p>
            <w:r>
              <w:rPr>
                <w:sz w:val="22"/>
              </w:rPr>
            </w:r>
            <w:r>
              <w:rPr>
                <w:rFonts w:ascii="Consolas" w:hAnsi="Consolas"/>
                <w:sz w:val="22"/>
              </w:rPr>
              <w:t>backend/README.md</w:t>
            </w:r>
          </w:p>
        </w:tc>
        <w:tc>
          <w:tcPr>
            <w:tcW w:type="dxa" w:w="2880"/>
          </w:tcPr>
          <w:p>
            <w:r>
              <w:rPr>
                <w:sz w:val="22"/>
              </w:rPr>
            </w:r>
            <w:r>
              <w:rPr>
                <w:sz w:val="22"/>
              </w:rPr>
              <w:t>1</w:t>
            </w:r>
          </w:p>
        </w:tc>
        <w:tc>
          <w:tcPr>
            <w:tcW w:type="dxa" w:w="2880"/>
          </w:tcPr>
          <w:p>
            <w:r>
              <w:rPr>
                <w:sz w:val="22"/>
              </w:rPr>
            </w:r>
            <w:r>
              <w:rPr>
                <w:sz w:val="22"/>
              </w:rPr>
              <w:t>delete — it documents the directory being removed</w:t>
            </w:r>
          </w:p>
        </w:tc>
      </w:tr>
    </w:tbl>
    <w:p/>
    <w:p>
      <w:r>
        <w:rPr>
          <w:i/>
        </w:rPr>
        <w:t>Proof:</w:t>
      </w:r>
      <w:r>
        <w:t xml:space="preserve"> build passes, deploy verifies, gate 1's reference count falls by the number moved, and the front end is untouched because none of these files is on a runtime path.</w:t>
      </w:r>
    </w:p>
    <w:p>
      <w:pPr>
        <w:pStyle w:val="Heading3"/>
      </w:pPr>
      <w:r>
        <w:t>Phase 3 — split `app.py` by capability</w:t>
      </w:r>
    </w:p>
    <w:p>
      <w:r>
        <w:t>One file, 2,000 lines, fourteen routes, every FindCare capability's server side in it. This is why two neighbours in one file implement the same idea two ways.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routes</w:t>
            </w:r>
          </w:p>
        </w:tc>
        <w:tc>
          <w:tcPr>
            <w:tcW w:type="dxa" w:w="4320"/>
          </w:tcPr>
          <w:p>
            <w:r>
              <w:rPr>
                <w:b/>
                <w:sz w:val="22"/>
              </w:rPr>
            </w:r>
            <w:r>
              <w:rPr>
                <w:b/>
                <w:sz w:val="22"/>
              </w:rPr>
              <w:t>destination</w:t>
            </w:r>
          </w:p>
        </w:tc>
      </w:tr>
      <w:tr>
        <w:tc>
          <w:tcPr>
            <w:tcW w:type="dxa" w:w="4320"/>
          </w:tcPr>
          <w:p>
            <w:r>
              <w:rPr>
                <w:sz w:val="22"/>
              </w:rPr>
            </w:r>
            <w:r>
              <w:rPr>
                <w:rFonts w:ascii="Consolas" w:hAnsi="Consolas"/>
                <w:sz w:val="22"/>
              </w:rPr>
              <w:t>/provider/find</w:t>
            </w:r>
            <w:r>
              <w:rPr>
                <w:sz w:val="22"/>
              </w:rPr>
              <w:t xml:space="preserve">, </w:t>
            </w:r>
            <w:r>
              <w:rPr>
                <w:rFonts w:ascii="Consolas" w:hAnsi="Consolas"/>
                <w:sz w:val="22"/>
              </w:rPr>
              <w:t>/search</w:t>
            </w:r>
            <w:r>
              <w:rPr>
                <w:sz w:val="22"/>
              </w:rPr>
              <w:t xml:space="preserve">, </w:t>
            </w:r>
            <w:r>
              <w:rPr>
                <w:rFonts w:ascii="Consolas" w:hAnsi="Consolas"/>
                <w:sz w:val="22"/>
              </w:rPr>
              <w:t>/provider/exclusions</w:t>
            </w:r>
          </w:p>
        </w:tc>
        <w:tc>
          <w:tcPr>
            <w:tcW w:type="dxa" w:w="4320"/>
          </w:tcPr>
          <w:p>
            <w:r>
              <w:rPr>
                <w:sz w:val="22"/>
              </w:rPr>
            </w:r>
            <w:r>
              <w:rPr>
                <w:rFonts w:ascii="Consolas" w:hAnsi="Consolas"/>
                <w:sz w:val="22"/>
              </w:rPr>
              <w:t>FindCare/ProviderManagement/</w:t>
            </w:r>
          </w:p>
        </w:tc>
      </w:tr>
      <w:tr>
        <w:tc>
          <w:tcPr>
            <w:tcW w:type="dxa" w:w="4320"/>
          </w:tcPr>
          <w:p>
            <w:r>
              <w:rPr>
                <w:sz w:val="22"/>
              </w:rPr>
            </w:r>
            <w:r>
              <w:rPr>
                <w:rFonts w:ascii="Consolas" w:hAnsi="Consolas"/>
                <w:sz w:val="22"/>
              </w:rPr>
              <w:t>/provider-detail</w:t>
            </w:r>
            <w:r>
              <w:rPr>
                <w:sz w:val="22"/>
              </w:rPr>
              <w:t xml:space="preserve">, </w:t>
            </w:r>
            <w:r>
              <w:rPr>
                <w:rFonts w:ascii="Consolas" w:hAnsi="Consolas"/>
                <w:sz w:val="22"/>
              </w:rPr>
              <w:t>/page/detail-open</w:t>
            </w:r>
            <w:r>
              <w:rPr>
                <w:sz w:val="22"/>
              </w:rPr>
              <w:t xml:space="preserve">, </w:t>
            </w:r>
            <w:r>
              <w:rPr>
                <w:rFonts w:ascii="Consolas" w:hAnsi="Consolas"/>
                <w:sz w:val="22"/>
              </w:rPr>
              <w:t>/page/detail-close</w:t>
            </w:r>
          </w:p>
        </w:tc>
        <w:tc>
          <w:tcPr>
            <w:tcW w:type="dxa" w:w="4320"/>
          </w:tcPr>
          <w:p>
            <w:r>
              <w:rPr>
                <w:sz w:val="22"/>
              </w:rPr>
            </w:r>
            <w:r>
              <w:rPr>
                <w:rFonts w:ascii="Consolas" w:hAnsi="Consolas"/>
                <w:sz w:val="22"/>
              </w:rPr>
              <w:t>FindCare/ProviderDetail/</w:t>
            </w:r>
          </w:p>
        </w:tc>
      </w:tr>
      <w:tr>
        <w:tc>
          <w:tcPr>
            <w:tcW w:type="dxa" w:w="4320"/>
          </w:tcPr>
          <w:p>
            <w:r>
              <w:rPr>
                <w:sz w:val="22"/>
              </w:rPr>
            </w:r>
            <w:r>
              <w:rPr>
                <w:rFonts w:ascii="Consolas" w:hAnsi="Consolas"/>
                <w:sz w:val="22"/>
              </w:rPr>
              <w:t>/facility/find</w:t>
            </w:r>
            <w:r>
              <w:rPr>
                <w:sz w:val="22"/>
              </w:rPr>
              <w:t xml:space="preserve">, </w:t>
            </w:r>
            <w:r>
              <w:rPr>
                <w:rFonts w:ascii="Consolas" w:hAnsi="Consolas"/>
                <w:sz w:val="22"/>
              </w:rPr>
              <w:t>/facility/page</w:t>
            </w:r>
          </w:p>
        </w:tc>
        <w:tc>
          <w:tcPr>
            <w:tcW w:type="dxa" w:w="4320"/>
          </w:tcPr>
          <w:p>
            <w:r>
              <w:rPr>
                <w:sz w:val="22"/>
              </w:rPr>
            </w:r>
            <w:r>
              <w:rPr>
                <w:rFonts w:ascii="Consolas" w:hAnsi="Consolas"/>
                <w:sz w:val="22"/>
              </w:rPr>
              <w:t>FindCare/FacilitySearch/</w:t>
            </w:r>
            <w:r>
              <w:rPr>
                <w:sz w:val="22"/>
              </w:rPr>
              <w:t xml:space="preserve"> (new)</w:t>
            </w:r>
          </w:p>
        </w:tc>
      </w:tr>
      <w:tr>
        <w:tc>
          <w:tcPr>
            <w:tcW w:type="dxa" w:w="4320"/>
          </w:tcPr>
          <w:p>
            <w:r>
              <w:rPr>
                <w:sz w:val="22"/>
              </w:rPr>
            </w:r>
            <w:r>
              <w:rPr>
                <w:rFonts w:ascii="Consolas" w:hAnsi="Consolas"/>
                <w:sz w:val="22"/>
              </w:rPr>
              <w:t>/specialty/find</w:t>
            </w:r>
            <w:r>
              <w:rPr>
                <w:sz w:val="22"/>
              </w:rPr>
              <w:t xml:space="preserve">, </w:t>
            </w:r>
            <w:r>
              <w:rPr>
                <w:rFonts w:ascii="Consolas" w:hAnsi="Consolas"/>
                <w:sz w:val="22"/>
              </w:rPr>
              <w:t>/nucc/classify</w:t>
            </w:r>
          </w:p>
        </w:tc>
        <w:tc>
          <w:tcPr>
            <w:tcW w:type="dxa" w:w="4320"/>
          </w:tcPr>
          <w:p>
            <w:r>
              <w:rPr>
                <w:sz w:val="22"/>
              </w:rPr>
            </w:r>
            <w:r>
              <w:rPr>
                <w:rFonts w:ascii="Consolas" w:hAnsi="Consolas"/>
                <w:sz w:val="22"/>
              </w:rPr>
              <w:t>FindCare/SpecialtyFilter/</w:t>
            </w:r>
          </w:p>
        </w:tc>
      </w:tr>
      <w:tr>
        <w:tc>
          <w:tcPr>
            <w:tcW w:type="dxa" w:w="4320"/>
          </w:tcPr>
          <w:p>
            <w:r>
              <w:rPr>
                <w:sz w:val="22"/>
              </w:rPr>
            </w:r>
            <w:r>
              <w:rPr>
                <w:rFonts w:ascii="Consolas" w:hAnsi="Consolas"/>
                <w:sz w:val="22"/>
              </w:rPr>
              <w:t>/trial/find</w:t>
            </w:r>
          </w:p>
        </w:tc>
        <w:tc>
          <w:tcPr>
            <w:tcW w:type="dxa" w:w="4320"/>
          </w:tcPr>
          <w:p>
            <w:r>
              <w:rPr>
                <w:sz w:val="22"/>
              </w:rPr>
            </w:r>
            <w:r>
              <w:rPr>
                <w:rFonts w:ascii="Consolas" w:hAnsi="Consolas"/>
                <w:sz w:val="22"/>
              </w:rPr>
              <w:t>FindCare/ClinicalTrials/</w:t>
            </w:r>
          </w:p>
        </w:tc>
      </w:tr>
      <w:tr>
        <w:tc>
          <w:tcPr>
            <w:tcW w:type="dxa" w:w="4320"/>
          </w:tcPr>
          <w:p>
            <w:r>
              <w:rPr>
                <w:sz w:val="22"/>
              </w:rPr>
            </w:r>
            <w:r>
              <w:rPr>
                <w:rFonts w:ascii="Consolas" w:hAnsi="Consolas"/>
                <w:sz w:val="22"/>
              </w:rPr>
              <w:t>/health</w:t>
            </w:r>
            <w:r>
              <w:rPr>
                <w:sz w:val="22"/>
              </w:rPr>
              <w:t xml:space="preserve">, </w:t>
            </w:r>
            <w:r>
              <w:rPr>
                <w:rFonts w:ascii="Consolas" w:hAnsi="Consolas"/>
                <w:sz w:val="22"/>
              </w:rPr>
              <w:t>/welcome</w:t>
            </w:r>
            <w:r>
              <w:rPr>
                <w:sz w:val="22"/>
              </w:rPr>
              <w:t xml:space="preserve">, </w:t>
            </w:r>
            <w:r>
              <w:rPr>
                <w:rFonts w:ascii="Consolas" w:hAnsi="Consolas"/>
                <w:sz w:val="22"/>
              </w:rPr>
              <w:t>/page/what-is-needed</w:t>
            </w:r>
          </w:p>
        </w:tc>
        <w:tc>
          <w:tcPr>
            <w:tcW w:type="dxa" w:w="4320"/>
          </w:tcPr>
          <w:p>
            <w:r>
              <w:rPr>
                <w:sz w:val="22"/>
              </w:rPr>
            </w:r>
            <w:r>
              <w:rPr>
                <w:sz w:val="22"/>
              </w:rPr>
              <w:t>the service runtime — /welcome here is superseded by Phase 5a, which routes it through a Gate op and then deletes the route</w:t>
            </w:r>
          </w:p>
        </w:tc>
      </w:tr>
    </w:tbl>
    <w:p/>
    <w:p>
      <w:r>
        <w:t xml:space="preserve">Plus the fourteen domain, application and infrastructure files that move with them, and the </w:t>
      </w:r>
      <w:r>
        <w:rPr>
          <w:rFonts w:ascii="Consolas" w:hAnsi="Consolas"/>
          <w:sz w:val="17"/>
        </w:rPr>
        <w:t>__init__.py</w:t>
      </w:r>
      <w:r>
        <w:t xml:space="preserve"> files that die with their packages.</w:t>
      </w:r>
    </w:p>
    <w:p>
      <w:r>
        <w:rPr>
          <w:b/>
        </w:rPr>
        <w:t>Order within the phase: the detail routes first</w:t>
      </w:r>
      <w:r>
        <w:t xml:space="preserve"> — smallest, best covered by tests — to prove the pattern before the search routes move. Each capability conforms to Phase 1's contract as it moves. And each conforms to the throw discipline the architectures set: a tool in the middle re-raises to the navigator that called it and never swallows, so every failure ends where it can be classified, logged and answered.</w:t>
      </w:r>
    </w:p>
    <w:p>
      <w:r>
        <w:rPr>
          <w:i/>
        </w:rPr>
        <w:t>Proof:</w:t>
      </w:r>
      <w:r>
        <w:t xml:space="preserve"> per capability — build passes, deploy verifies, the Playwright suites hold at their known counts (desktop 109/1, phone 104/6), and no gate number falls.</w:t>
      </w:r>
    </w:p>
    <w:p>
      <w:pPr>
        <w:pStyle w:val="Heading3"/>
      </w:pPr>
      <w:r>
        <w:t>Phase 4 — the router stops doing the work</w:t>
      </w:r>
    </w:p>
    <w:p>
      <w:r>
        <w:t>Three search actions dispatch the tool named for them; the inline blocks go, including the one that builds its own HTTP client. Safe only now, because the far side is a per-capability module rather than a shared file.</w:t>
      </w:r>
    </w:p>
    <w:p>
      <w:r>
        <w:t xml:space="preserve">Then the residue Phase 3 does not touch: </w:t>
      </w:r>
      <w:r>
        <w:rPr>
          <w:rFonts w:ascii="Consolas" w:hAnsi="Consolas"/>
          <w:sz w:val="17"/>
        </w:rPr>
        <w:t>_ACTION_PAGES</w:t>
      </w:r>
      <w:r>
        <w:t xml:space="preserve">, the capability entries in </w:t>
      </w:r>
      <w:r>
        <w:rPr>
          <w:rFonts w:ascii="Consolas" w:hAnsi="Consolas"/>
          <w:sz w:val="17"/>
        </w:rPr>
        <w:t>_OP_HANDLERS</w:t>
      </w:r>
      <w:r>
        <w:t xml:space="preserve">, </w:t>
      </w:r>
      <w:r>
        <w:rPr>
          <w:rFonts w:ascii="Consolas" w:hAnsi="Consolas"/>
          <w:sz w:val="17"/>
        </w:rPr>
        <w:t>_TURN_OPS</w:t>
      </w:r>
      <w:r>
        <w:t>, and the page-and-tool map are per-capability tables living in the router. They derive from the declaration or the claim that a new capability needs no router change stays false.</w:t>
      </w:r>
    </w:p>
    <w:p>
      <w:r>
        <w:rPr>
          <w:i/>
        </w:rPr>
        <w:t>Proof:</w:t>
      </w:r>
      <w:r>
        <w:t xml:space="preserve"> the router holds no HTTP client and no stream shaping for a search; gate 2 goes green; adding a capability is demonstrated as a declaration plus its own files, with no router edit.</w:t>
      </w:r>
    </w:p>
    <w:p>
      <w:pPr>
        <w:pStyle w:val="Heading3"/>
      </w:pPr>
      <w:r>
        <w:t>Phase 5 — the front end, and the rest of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group</w:t>
            </w:r>
          </w:p>
        </w:tc>
        <w:tc>
          <w:tcPr>
            <w:tcW w:type="dxa" w:w="2880"/>
          </w:tcPr>
          <w:p>
            <w:r>
              <w:rPr>
                <w:b/>
                <w:sz w:val="22"/>
              </w:rPr>
            </w:r>
            <w:r>
              <w:rPr>
                <w:b/>
                <w:sz w:val="22"/>
              </w:rPr>
              <w:t>n</w:t>
            </w:r>
          </w:p>
        </w:tc>
        <w:tc>
          <w:tcPr>
            <w:tcW w:type="dxa" w:w="2880"/>
          </w:tcPr>
          <w:p>
            <w:r>
              <w:rPr>
                <w:b/>
                <w:sz w:val="22"/>
              </w:rPr>
            </w:r>
            <w:r>
              <w:rPr>
                <w:b/>
                <w:sz w:val="22"/>
              </w:rPr>
              <w:t>action</w:t>
            </w:r>
          </w:p>
        </w:tc>
      </w:tr>
      <w:tr>
        <w:tc>
          <w:tcPr>
            <w:tcW w:type="dxa" w:w="2880"/>
          </w:tcPr>
          <w:p>
            <w:r>
              <w:rPr>
                <w:sz w:val="22"/>
              </w:rPr>
            </w:r>
            <w:r>
              <w:rPr>
                <w:sz w:val="22"/>
              </w:rPr>
              <w:t>5 widgets</w:t>
            </w:r>
          </w:p>
        </w:tc>
        <w:tc>
          <w:tcPr>
            <w:tcW w:type="dxa" w:w="2880"/>
          </w:tcPr>
          <w:p>
            <w:r>
              <w:rPr>
                <w:sz w:val="22"/>
              </w:rPr>
            </w:r>
            <w:r>
              <w:rPr>
                <w:sz w:val="22"/>
              </w:rPr>
              <w:t>5</w:t>
            </w:r>
          </w:p>
        </w:tc>
        <w:tc>
          <w:tcPr>
            <w:tcW w:type="dxa" w:w="2880"/>
          </w:tcPr>
          <w:p>
            <w:r>
              <w:rPr>
                <w:sz w:val="22"/>
              </w:rPr>
            </w:r>
            <w:r>
              <w:rPr>
                <w:sz w:val="22"/>
              </w:rPr>
              <w:t xml:space="preserve">trials → </w:t>
            </w:r>
            <w:r>
              <w:rPr>
                <w:rFonts w:ascii="Consolas" w:hAnsi="Consolas"/>
                <w:sz w:val="22"/>
              </w:rPr>
              <w:t>FindCare/ClinicalTrials</w:t>
            </w:r>
            <w:r>
              <w:rPr>
                <w:sz w:val="22"/>
              </w:rPr>
              <w:t xml:space="preserve">; header and legal panel → </w:t>
            </w:r>
            <w:r>
              <w:rPr>
                <w:rFonts w:ascii="Consolas" w:hAnsi="Consolas"/>
                <w:sz w:val="22"/>
              </w:rPr>
              <w:t>displayChrome</w:t>
            </w:r>
            <w:r>
              <w:rPr>
                <w:sz w:val="22"/>
              </w:rPr>
              <w:t xml:space="preserve">; refinement → </w:t>
            </w:r>
            <w:r>
              <w:rPr>
                <w:rFonts w:ascii="Consolas" w:hAnsi="Consolas"/>
                <w:sz w:val="22"/>
              </w:rPr>
              <w:t>ProviderManagement</w:t>
            </w:r>
            <w:r>
              <w:rPr>
                <w:sz w:val="22"/>
              </w:rPr>
              <w:t xml:space="preserve">; selected providers → </w:t>
            </w:r>
            <w:r>
              <w:rPr>
                <w:rFonts w:ascii="Consolas" w:hAnsi="Consolas"/>
                <w:sz w:val="22"/>
              </w:rPr>
              <w:t>ProviderSelection</w:t>
            </w:r>
          </w:p>
        </w:tc>
      </w:tr>
      <w:tr>
        <w:tc>
          <w:tcPr>
            <w:tcW w:type="dxa" w:w="2880"/>
          </w:tcPr>
          <w:p>
            <w:r>
              <w:rPr>
                <w:sz w:val="22"/>
              </w:rPr>
            </w:r>
            <w:r>
              <w:rPr>
                <w:sz w:val="22"/>
              </w:rPr>
              <w:t>app shell</w:t>
            </w:r>
          </w:p>
        </w:tc>
        <w:tc>
          <w:tcPr>
            <w:tcW w:type="dxa" w:w="2880"/>
          </w:tcPr>
          <w:p>
            <w:r>
              <w:rPr>
                <w:sz w:val="22"/>
              </w:rPr>
            </w:r>
            <w:r>
              <w:rPr>
                <w:sz w:val="22"/>
              </w:rPr>
              <w:t>6</w:t>
            </w:r>
          </w:p>
        </w:tc>
        <w:tc>
          <w:tcPr>
            <w:tcW w:type="dxa" w:w="2880"/>
          </w:tcPr>
          <w:p>
            <w:r>
              <w:rPr>
                <w:sz w:val="22"/>
              </w:rPr>
            </w:r>
            <w:r>
              <w:rPr>
                <w:sz w:val="22"/>
              </w:rPr>
              <w:t xml:space="preserve">per </w:t>
            </w:r>
            <w:r>
              <w:rPr>
                <w:b/>
                <w:sz w:val="22"/>
              </w:rPr>
              <w:t>D2</w:t>
            </w:r>
          </w:p>
        </w:tc>
      </w:tr>
      <w:tr>
        <w:tc>
          <w:tcPr>
            <w:tcW w:type="dxa" w:w="2880"/>
          </w:tcPr>
          <w:p>
            <w:r>
              <w:rPr>
                <w:sz w:val="22"/>
              </w:rPr>
            </w:r>
            <w:r>
              <w:rPr>
                <w:sz w:val="22"/>
              </w:rPr>
              <w:t>backend tests</w:t>
            </w:r>
          </w:p>
        </w:tc>
        <w:tc>
          <w:tcPr>
            <w:tcW w:type="dxa" w:w="2880"/>
          </w:tcPr>
          <w:p>
            <w:r>
              <w:rPr>
                <w:sz w:val="22"/>
              </w:rPr>
            </w:r>
            <w:r>
              <w:rPr>
                <w:sz w:val="22"/>
              </w:rPr>
              <w:t>14</w:t>
            </w:r>
          </w:p>
        </w:tc>
        <w:tc>
          <w:tcPr>
            <w:tcW w:type="dxa" w:w="2880"/>
          </w:tcPr>
          <w:p>
            <w:r>
              <w:rPr>
                <w:sz w:val="22"/>
              </w:rPr>
            </w:r>
            <w:r>
              <w:rPr>
                <w:sz w:val="22"/>
              </w:rPr>
              <w:t xml:space="preserve">per </w:t>
            </w:r>
            <w:r>
              <w:rPr>
                <w:b/>
                <w:sz w:val="22"/>
              </w:rPr>
              <w:t>D1</w:t>
            </w:r>
          </w:p>
        </w:tc>
      </w:tr>
      <w:tr>
        <w:tc>
          <w:tcPr>
            <w:tcW w:type="dxa" w:w="2880"/>
          </w:tcPr>
          <w:p>
            <w:r>
              <w:rPr>
                <w:sz w:val="22"/>
              </w:rPr>
            </w:r>
            <w:r>
              <w:rPr>
                <w:sz w:val="22"/>
              </w:rPr>
              <w:t>iPhone tests</w:t>
            </w:r>
          </w:p>
        </w:tc>
        <w:tc>
          <w:tcPr>
            <w:tcW w:type="dxa" w:w="2880"/>
          </w:tcPr>
          <w:p>
            <w:r>
              <w:rPr>
                <w:sz w:val="22"/>
              </w:rPr>
            </w:r>
            <w:r>
              <w:rPr>
                <w:sz w:val="22"/>
              </w:rPr>
              <w:t>2</w:t>
            </w:r>
          </w:p>
        </w:tc>
        <w:tc>
          <w:tcPr>
            <w:tcW w:type="dxa" w:w="2880"/>
          </w:tcPr>
          <w:p>
            <w:r>
              <w:rPr>
                <w:sz w:val="22"/>
              </w:rPr>
            </w:r>
            <w:r>
              <w:rPr>
                <w:sz w:val="22"/>
              </w:rPr>
              <w:t xml:space="preserve">per </w:t>
            </w:r>
            <w:r>
              <w:rPr>
                <w:b/>
                <w:sz w:val="22"/>
              </w:rPr>
              <w:t>D1</w:t>
            </w:r>
          </w:p>
        </w:tc>
      </w:tr>
    </w:tbl>
    <w:p/>
    <w:p>
      <w:r>
        <w:t xml:space="preserve">Then the build and deploy references that point into the directory: the vite config's root and outDir, </w:t>
      </w:r>
      <w:r>
        <w:rPr>
          <w:rFonts w:ascii="Consolas" w:hAnsi="Consolas"/>
          <w:sz w:val="17"/>
        </w:rPr>
        <w:t>_build_chain</w:t>
      </w:r>
      <w:r>
        <w:t xml:space="preserve">, </w:t>
      </w:r>
      <w:r>
        <w:rPr>
          <w:rFonts w:ascii="Consolas" w:hAnsi="Consolas"/>
          <w:sz w:val="17"/>
        </w:rPr>
        <w:t>_deploy_chain</w:t>
      </w:r>
      <w:r>
        <w:t xml:space="preserve">, </w:t>
      </w:r>
      <w:r>
        <w:rPr>
          <w:rFonts w:ascii="Consolas" w:hAnsi="Consolas"/>
          <w:sz w:val="17"/>
        </w:rPr>
        <w:t>hf_helpers</w:t>
      </w:r>
      <w:r>
        <w:t xml:space="preserve">, </w:t>
      </w:r>
      <w:r>
        <w:rPr>
          <w:rFonts w:ascii="Consolas" w:hAnsi="Consolas"/>
          <w:sz w:val="17"/>
        </w:rPr>
        <w:t>preflight_undefined_names</w:t>
      </w:r>
      <w:r>
        <w:t xml:space="preserve">, and </w:t>
      </w:r>
      <w:r>
        <w:rPr>
          <w:rFonts w:ascii="Consolas" w:hAnsi="Consolas"/>
          <w:sz w:val="17"/>
        </w:rPr>
        <w:t>tsconfig.json</w:t>
      </w:r>
      <w:r>
        <w:t>.</w:t>
      </w:r>
    </w:p>
    <w:p>
      <w:r>
        <w:rPr>
          <w:i/>
        </w:rPr>
        <w:t>Proof:</w:t>
      </w:r>
      <w:r>
        <w:t xml:space="preserve"> the bundle hash is unchanged where only location changed; the suites hold; and gate 1 reads zero.</w:t>
      </w:r>
    </w:p>
    <w:p>
      <w:pPr>
        <w:pStyle w:val="Heading3"/>
      </w:pPr>
      <w:r>
        <w:t>Phase 5a — route the traffic the firm does not originate</w:t>
      </w:r>
    </w:p>
    <w:p>
      <w:r>
        <w:t>Added after two agents found, independently, that no phase of this plan reached it. They are right: every other phase concerns one service's capability contract, its search router, or the deletion of a source directory. The OAuth callback, session issuance and the health probe are SharedServices routes, and nothing here touched them.</w:t>
      </w:r>
    </w:p>
    <w:p>
      <w:r>
        <w:rPr>
          <w:rFonts w:ascii="Consolas" w:hAnsi="Consolas"/>
          <w:sz w:val="17"/>
        </w:rPr>
        <w:t>EPIC-002-F-004-S-001-REQ-B-001</w:t>
      </w:r>
      <w:r>
        <w:t xml:space="preserve"> now requires that a request the firm does not originate arrives at a URI the Gate owns, with the Gate collecting the request facts and handing them to the UniversalNavigator, which dispatches to the tool that handles it. The Gate is a proxy: it dispatches to nothing but the navigator, and the navigator is the only node that takes external traffic.</w:t>
      </w:r>
    </w:p>
    <w:p>
      <w:pPr/>
      <w:r>
        <w:t>One divergence to hand up. The sentence above follows the target design, where the Gate is a dumb proxy and the UniversalNavigator dispatches. If REQ-B-001's own text instead places the dispatch on the Gate, the requirement and the design disagree; the requirement is authoritative, and which one governs is yours to resolve, not mine to settle inside this plan.</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route</w:t>
            </w:r>
          </w:p>
        </w:tc>
        <w:tc>
          <w:tcPr>
            <w:tcW w:type="dxa" w:w="4320"/>
          </w:tcPr>
          <w:p>
            <w:r>
              <w:rPr>
                <w:b/>
                <w:sz w:val="22"/>
              </w:rPr>
            </w:r>
            <w:r>
              <w:rPr>
                <w:b/>
                <w:sz w:val="22"/>
              </w:rPr>
              <w:t>work</w:t>
            </w:r>
          </w:p>
        </w:tc>
      </w:tr>
      <w:tr>
        <w:tc>
          <w:tcPr>
            <w:tcW w:type="dxa" w:w="4320"/>
          </w:tcPr>
          <w:p>
            <w:r>
              <w:rPr>
                <w:sz w:val="22"/>
              </w:rPr>
            </w:r>
            <w:r>
              <w:rPr>
                <w:sz w:val="22"/>
              </w:rPr>
              <w:t>the identity provider's redirect</w:t>
            </w:r>
          </w:p>
        </w:tc>
        <w:tc>
          <w:tcPr>
            <w:tcW w:type="dxa" w:w="4320"/>
          </w:tcPr>
          <w:p>
            <w:r>
              <w:rPr>
                <w:sz w:val="22"/>
              </w:rPr>
            </w:r>
            <w:r>
              <w:rPr>
                <w:sz w:val="22"/>
              </w:rPr>
              <w:t xml:space="preserve">register the callback URI under the Gate; recover the session from the signed </w:t>
            </w:r>
            <w:r>
              <w:rPr>
                <w:rFonts w:ascii="Consolas" w:hAnsi="Consolas"/>
                <w:sz w:val="22"/>
              </w:rPr>
              <w:t>state</w:t>
            </w:r>
            <w:r>
              <w:rPr>
                <w:sz w:val="22"/>
              </w:rPr>
              <w:t xml:space="preserve"> the callback already verifies; hand it to the UniversalNavigator, which dispatches the OAuth tool</w:t>
            </w:r>
          </w:p>
        </w:tc>
      </w:tr>
      <w:tr>
        <w:tc>
          <w:tcPr>
            <w:tcW w:type="dxa" w:w="4320"/>
          </w:tcPr>
          <w:p>
            <w:r>
              <w:rPr>
                <w:sz w:val="22"/>
              </w:rPr>
            </w:r>
            <w:r>
              <w:rPr>
                <w:rFonts w:ascii="Consolas" w:hAnsi="Consolas"/>
                <w:sz w:val="22"/>
              </w:rPr>
              <w:t>/welcome</w:t>
            </w:r>
            <w:r>
              <w:rPr>
                <w:sz w:val="22"/>
              </w:rPr>
              <w:t>, called directly by a browser widget</w:t>
            </w:r>
          </w:p>
        </w:tc>
        <w:tc>
          <w:tcPr>
            <w:tcW w:type="dxa" w:w="4320"/>
          </w:tcPr>
          <w:p>
            <w:r>
              <w:rPr>
                <w:sz w:val="22"/>
              </w:rPr>
            </w:r>
            <w:r>
              <w:rPr>
                <w:sz w:val="22"/>
              </w:rPr>
              <w:t xml:space="preserve">serve it through a Gate op, then </w:t>
            </w:r>
            <w:r>
              <w:rPr>
                <w:b/>
                <w:sz w:val="22"/>
              </w:rPr>
              <w:t>delete the route</w:t>
            </w:r>
            <w:r>
              <w:rPr>
                <w:sz w:val="22"/>
              </w:rPr>
              <w:t xml:space="preserve"> — routing the caller while leaving the door open closes the call site and not the door</w:t>
            </w:r>
          </w:p>
        </w:tc>
      </w:tr>
      <w:tr>
        <w:tc>
          <w:tcPr>
            <w:tcW w:type="dxa" w:w="4320"/>
          </w:tcPr>
          <w:p>
            <w:r>
              <w:rPr>
                <w:sz w:val="22"/>
              </w:rPr>
            </w:r>
            <w:r>
              <w:rPr>
                <w:rFonts w:ascii="Consolas" w:hAnsi="Consolas"/>
                <w:sz w:val="22"/>
              </w:rPr>
              <w:t>/health</w:t>
            </w:r>
          </w:p>
        </w:tc>
        <w:tc>
          <w:tcPr>
            <w:tcW w:type="dxa" w:w="4320"/>
          </w:tcPr>
          <w:p>
            <w:r>
              <w:rPr>
                <w:sz w:val="22"/>
              </w:rPr>
            </w:r>
            <w:r>
              <w:rPr>
                <w:sz w:val="22"/>
              </w:rPr>
              <w:t>the platform probe is not a client call and was a category error to list; what remains is that the route takes no token and answers from Mongo</w:t>
            </w:r>
          </w:p>
        </w:tc>
      </w:tr>
      <w:tr>
        <w:tc>
          <w:tcPr>
            <w:tcW w:type="dxa" w:w="4320"/>
          </w:tcPr>
          <w:p>
            <w:r>
              <w:rPr>
                <w:sz w:val="22"/>
              </w:rPr>
            </w:r>
            <w:r>
              <w:rPr>
                <w:sz w:val="22"/>
              </w:rPr>
              <w:t>session issuance</w:t>
            </w:r>
          </w:p>
        </w:tc>
        <w:tc>
          <w:tcPr>
            <w:tcW w:type="dxa" w:w="4320"/>
          </w:tcPr>
          <w:p>
            <w:r>
              <w:rPr>
                <w:sz w:val="22"/>
              </w:rPr>
            </w:r>
            <w:r>
              <w:rPr>
                <w:sz w:val="22"/>
              </w:rPr>
              <w:t>blocked on an operator decision: an unauthenticated op on the Gate weakens "no op is exempt", a separate endpoint weakens "one entrance"</w:t>
            </w:r>
          </w:p>
        </w:tc>
      </w:tr>
      <w:tr>
        <w:tc>
          <w:tcPr>
            <w:tcW w:type="dxa" w:w="4320"/>
          </w:tcPr>
          <w:p>
            <w:r>
              <w:rPr>
                <w:sz w:val="22"/>
              </w:rPr>
            </w:r>
            <w:r>
              <w:rPr>
                <w:sz w:val="22"/>
              </w:rPr>
              <w:t>the secrets and debug routes</w:t>
            </w:r>
          </w:p>
        </w:tc>
        <w:tc>
          <w:tcPr>
            <w:tcW w:type="dxa" w:w="4320"/>
          </w:tcPr>
          <w:p>
            <w:r>
              <w:rPr>
                <w:sz w:val="22"/>
              </w:rPr>
            </w:r>
            <w:r>
              <w:rPr>
                <w:sz w:val="22"/>
              </w:rPr>
              <w:t>deletion, and no phase scheduled it</w:t>
            </w:r>
          </w:p>
        </w:tc>
      </w:tr>
    </w:tbl>
    <w:p/>
    <w:p>
      <w:r>
        <w:rPr>
          <w:i/>
        </w:rPr>
        <w:t>Proof:</w:t>
      </w:r>
      <w:r>
        <w:t xml:space="preserve"> every client-reachable route outside the Gate is either dispatched through it or gone, and a check enumerates the routes each service exposes and compares them against the Gate's dispatch map. At the target that dispatch map is the registry's routes — the same closed set of five call types, each with its proof — so this check becomes the registry's rather than a parallel map maintained beside it.</w:t>
      </w:r>
    </w:p>
    <w:p>
      <w:r>
        <w:rPr>
          <w:b/>
        </w:rPr>
        <w:t>One honest note on sequence.</w:t>
      </w:r>
      <w:r>
        <w:t xml:space="preserve"> This phase does not depend on the others and the others do not depend on it. It is placed here because that is where it was found, not because anything blocks it — it could run first.</w:t>
      </w:r>
    </w:p>
    <w:p>
      <w:pPr>
        <w:pStyle w:val="Heading3"/>
      </w:pPr>
      <w:r>
        <w:t>Phase 6 — delete the directory</w:t>
      </w:r>
    </w:p>
    <w:p>
      <w:r>
        <w:rPr>
          <w:rFonts w:ascii="Consolas" w:hAnsi="Consolas"/>
          <w:sz w:val="17"/>
        </w:rPr>
        <w:t>git rm -r Code</w:t>
      </w:r>
      <w:r>
        <w:t>. The directory ceases to exist, gate 1 stays green permanently, and any future commit that reintroduces a path under it is refused.</w:t>
      </w:r>
    </w:p>
    <w:p>
      <w:r>
        <w:rPr>
          <w:i/>
        </w:rPr>
        <w:t>Proof:</w:t>
      </w:r>
      <w:r>
        <w:t xml:space="preserve"> the three commands in §0 agree.</w:t>
      </w:r>
    </w:p>
    <w:p>
      <w:pPr>
        <w:pStyle w:val="Heading2"/>
      </w:pPr>
      <w:r>
        <w:t>4. What one step looks like</w:t>
      </w:r>
    </w:p>
    <w:p>
      <w:r>
        <w:t>Every move in Phases 2, 3 and 5 is the same five, and the existing gates make a half-done step fail loudly rather than ship.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p>
        </w:tc>
        <w:tc>
          <w:tcPr>
            <w:tcW w:type="dxa" w:w="2880"/>
          </w:tcPr>
          <w:p>
            <w:r>
              <w:rPr>
                <w:b/>
                <w:sz w:val="22"/>
              </w:rPr>
            </w:r>
            <w:r>
              <w:rPr>
                <w:b/>
                <w:sz w:val="22"/>
              </w:rPr>
              <w:t>move</w:t>
            </w:r>
          </w:p>
        </w:tc>
        <w:tc>
          <w:tcPr>
            <w:tcW w:type="dxa" w:w="2880"/>
          </w:tcPr>
          <w:p>
            <w:r>
              <w:rPr>
                <w:b/>
                <w:sz w:val="22"/>
              </w:rPr>
            </w:r>
            <w:r>
              <w:rPr>
                <w:b/>
                <w:sz w:val="22"/>
              </w:rPr>
              <w:t>what catches a mistake</w:t>
            </w:r>
          </w:p>
        </w:tc>
      </w:tr>
      <w:tr>
        <w:tc>
          <w:tcPr>
            <w:tcW w:type="dxa" w:w="2880"/>
          </w:tcPr>
          <w:p>
            <w:r>
              <w:rPr>
                <w:sz w:val="22"/>
              </w:rPr>
            </w:r>
            <w:r>
              <w:rPr>
                <w:sz w:val="22"/>
              </w:rPr>
              <w:t>1</w:t>
            </w:r>
          </w:p>
        </w:tc>
        <w:tc>
          <w:tcPr>
            <w:tcW w:type="dxa" w:w="2880"/>
          </w:tcPr>
          <w:p>
            <w:r>
              <w:rPr>
                <w:sz w:val="22"/>
              </w:rPr>
            </w:r>
            <w:r>
              <w:rPr>
                <w:sz w:val="22"/>
              </w:rPr>
              <w:t>move the files</w:t>
            </w:r>
          </w:p>
        </w:tc>
        <w:tc>
          <w:tcPr>
            <w:tcW w:type="dxa" w:w="2880"/>
          </w:tcPr>
          <w:p>
            <w:r>
              <w:rPr>
                <w:sz w:val="22"/>
              </w:rPr>
            </w:r>
            <w:r>
              <w:rPr>
                <w:sz w:val="22"/>
              </w:rPr>
              <w:t>—</w:t>
            </w:r>
          </w:p>
        </w:tc>
      </w:tr>
      <w:tr>
        <w:tc>
          <w:tcPr>
            <w:tcW w:type="dxa" w:w="2880"/>
          </w:tcPr>
          <w:p>
            <w:r>
              <w:rPr>
                <w:sz w:val="22"/>
              </w:rPr>
            </w:r>
            <w:r>
              <w:rPr>
                <w:sz w:val="22"/>
              </w:rPr>
              <w:t>2</w:t>
            </w:r>
          </w:p>
        </w:tc>
        <w:tc>
          <w:tcPr>
            <w:tcW w:type="dxa" w:w="2880"/>
          </w:tcPr>
          <w:p>
            <w:r>
              <w:rPr>
                <w:sz w:val="22"/>
              </w:rPr>
            </w:r>
            <w:r>
              <w:rPr>
                <w:sz w:val="22"/>
              </w:rPr>
              <w:t>update the declaration to match</w:t>
            </w:r>
          </w:p>
        </w:tc>
        <w:tc>
          <w:tcPr>
            <w:tcW w:type="dxa" w:w="2880"/>
          </w:tcPr>
          <w:p>
            <w:r>
              <w:rPr>
                <w:sz w:val="22"/>
              </w:rPr>
            </w:r>
            <w:r>
              <w:rPr>
                <w:sz w:val="22"/>
              </w:rPr>
              <w:t xml:space="preserve">the build refuses a </w:t>
            </w:r>
            <w:r>
              <w:rPr>
                <w:rFonts w:ascii="Consolas" w:hAnsi="Consolas"/>
                <w:sz w:val="22"/>
              </w:rPr>
              <w:t>source_location</w:t>
            </w:r>
            <w:r>
              <w:rPr>
                <w:sz w:val="22"/>
              </w:rPr>
              <w:t xml:space="preserve"> not on disk</w:t>
            </w:r>
          </w:p>
        </w:tc>
      </w:tr>
      <w:tr>
        <w:tc>
          <w:tcPr>
            <w:tcW w:type="dxa" w:w="2880"/>
          </w:tcPr>
          <w:p>
            <w:r>
              <w:rPr>
                <w:sz w:val="22"/>
              </w:rPr>
            </w:r>
            <w:r>
              <w:rPr>
                <w:sz w:val="22"/>
              </w:rPr>
              <w:t>3</w:t>
            </w:r>
          </w:p>
        </w:tc>
        <w:tc>
          <w:tcPr>
            <w:tcW w:type="dxa" w:w="2880"/>
          </w:tcPr>
          <w:p>
            <w:r>
              <w:rPr>
                <w:sz w:val="22"/>
              </w:rPr>
            </w:r>
            <w:r>
              <w:rPr>
                <w:sz w:val="22"/>
              </w:rPr>
              <w:t>build</w:t>
            </w:r>
          </w:p>
        </w:tc>
        <w:tc>
          <w:tcPr>
            <w:tcW w:type="dxa" w:w="2880"/>
          </w:tcPr>
          <w:p>
            <w:r>
              <w:rPr>
                <w:sz w:val="22"/>
              </w:rPr>
            </w:r>
            <w:r>
              <w:rPr>
                <w:sz w:val="22"/>
              </w:rPr>
              <w:t>the crosswalk refuses a declared file that is missing</w:t>
            </w:r>
          </w:p>
        </w:tc>
      </w:tr>
      <w:tr>
        <w:tc>
          <w:tcPr>
            <w:tcW w:type="dxa" w:w="2880"/>
          </w:tcPr>
          <w:p>
            <w:r>
              <w:rPr>
                <w:sz w:val="22"/>
              </w:rPr>
            </w:r>
            <w:r>
              <w:rPr>
                <w:sz w:val="22"/>
              </w:rPr>
              <w:t>4</w:t>
            </w:r>
          </w:p>
        </w:tc>
        <w:tc>
          <w:tcPr>
            <w:tcW w:type="dxa" w:w="2880"/>
          </w:tcPr>
          <w:p>
            <w:r>
              <w:rPr>
                <w:sz w:val="22"/>
              </w:rPr>
            </w:r>
            <w:r>
              <w:rPr>
                <w:sz w:val="22"/>
              </w:rPr>
              <w:t>deploy</w:t>
            </w:r>
          </w:p>
        </w:tc>
        <w:tc>
          <w:tcPr>
            <w:tcW w:type="dxa" w:w="2880"/>
          </w:tcPr>
          <w:p>
            <w:r>
              <w:rPr>
                <w:sz w:val="22"/>
              </w:rPr>
            </w:r>
            <w:r>
              <w:rPr>
                <w:sz w:val="22"/>
              </w:rPr>
              <w:t>the deploy verifies the target reports the build it was given</w:t>
            </w:r>
          </w:p>
        </w:tc>
      </w:tr>
      <w:tr>
        <w:tc>
          <w:tcPr>
            <w:tcW w:type="dxa" w:w="2880"/>
          </w:tcPr>
          <w:p>
            <w:r>
              <w:rPr>
                <w:sz w:val="22"/>
              </w:rPr>
            </w:r>
            <w:r>
              <w:rPr>
                <w:sz w:val="22"/>
              </w:rPr>
              <w:t>5</w:t>
            </w:r>
          </w:p>
        </w:tc>
        <w:tc>
          <w:tcPr>
            <w:tcW w:type="dxa" w:w="2880"/>
          </w:tcPr>
          <w:p>
            <w:r>
              <w:rPr>
                <w:sz w:val="22"/>
              </w:rPr>
            </w:r>
            <w:r>
              <w:rPr>
                <w:sz w:val="22"/>
              </w:rPr>
              <w:t>run the gates</w:t>
            </w:r>
          </w:p>
        </w:tc>
        <w:tc>
          <w:tcPr>
            <w:tcW w:type="dxa" w:w="2880"/>
          </w:tcPr>
          <w:p>
            <w:r>
              <w:rPr>
                <w:sz w:val="22"/>
              </w:rPr>
            </w:r>
            <w:r>
              <w:rPr>
                <w:sz w:val="22"/>
              </w:rPr>
              <w:t>the numbers moved the right way, or the step is not done</w:t>
            </w:r>
          </w:p>
        </w:tc>
      </w:tr>
    </w:tbl>
    <w:p/>
    <w:p>
      <w:r>
        <w:rPr>
          <w:b/>
        </w:rPr>
        <w:t>One honest limit on step 3.</w:t>
      </w:r>
      <w:r>
        <w:t xml:space="preserve"> Content-hash drift is </w:t>
      </w:r>
      <w:r>
        <w:rPr>
          <w:i/>
        </w:rPr>
        <w:t>not</w:t>
      </w:r>
      <w:r>
        <w:t xml:space="preserve"> refused on dev, qa or prod: the build rewrites every hash from disk before the gate runs, and the deploy-side crosswalk is reachable only from the local deploy. What still holds everywhere is the presence check — a declared file that is missing — and that is the one that catches a missed declaration during a move, which is the mistake this plan is actually exposed to.</w:t>
      </w:r>
    </w:p>
    <w:p>
      <w:pPr>
        <w:pStyle w:val="Heading2"/>
      </w:pPr>
      <w:r>
        <w:t>5. What could stall this, and what I would do</w:t>
      </w:r>
    </w:p>
    <w:p>
      <w:pPr>
        <w:pStyle w:val="ListBullet"/>
      </w:pPr>
      <w:r>
        <w:rPr>
          <w:b/>
        </w:rPr>
        <w:t>A decision arrives that changes a destination.</w:t>
      </w:r>
      <w:r>
        <w:t xml:space="preserve"> The plan is a table of destinations; changing one is an edit, not a redesign.</w:t>
      </w:r>
    </w:p>
    <w:p>
      <w:pPr>
        <w:pStyle w:val="ListBullet"/>
      </w:pPr>
      <w:r>
        <w:rPr>
          <w:b/>
        </w:rPr>
        <w:t>A capability's routes will not separate cleanly</w:t>
      </w:r>
      <w:r>
        <w:t xml:space="preserve"> because two share state through a module-level object. Likely in the specialty and provider pair. I stop and bring you the coupling rather than inventing a shared home for it.</w:t>
      </w:r>
    </w:p>
    <w:p>
      <w:pPr>
        <w:pStyle w:val="ListBullet"/>
      </w:pPr>
      <w:r>
        <w:rPr>
          <w:b/>
        </w:rPr>
        <w:t>A gate cannot be written from behaviour</w:t>
      </w:r>
      <w:r>
        <w:t xml:space="preserve"> for one of the three. Then the architecture is not defined well enough to refactor toward, and that is worth knowing in a day rather than three weeks in.</w:t>
      </w:r>
    </w:p>
    <w:p>
      <w:pPr>
        <w:pStyle w:val="ListBullet"/>
      </w:pPr>
      <w:r>
        <w:rPr>
          <w:b/>
        </w:rPr>
        <w:t>The suites move.</w:t>
      </w:r>
      <w:r>
        <w:t xml:space="preserve"> Their known counts include failures already escalated to you. If a count changes, I report which test and why before continuing, because a suite whose baseline drifts silently is the same failure mode as everything else in these documents.</w:t>
      </w:r>
    </w:p>
    <w:p>
      <w:pPr>
        <w:pStyle w:val="Heading2"/>
      </w:pPr>
      <w:r>
        <w:t>6. What this plan does not do</w:t>
      </w:r>
    </w:p>
    <w:p>
      <w:pPr>
        <w:pStyle w:val="ListBullet"/>
      </w:pPr>
      <w:r>
        <w:rPr>
          <w:b/>
        </w:rPr>
        <w:t>It does not touch EvaluateCare.</w:t>
      </w:r>
      <w:r>
        <w:t xml:space="preserve"> The point is that EvaluateCare is built against a reference that is finished and measured, not against one changing underneath it.</w:t>
      </w:r>
    </w:p>
    <w:p>
      <w:pPr>
        <w:pStyle w:val="ListBullet"/>
      </w:pPr>
      <w:r>
        <w:rPr>
          <w:b/>
        </w:rPr>
        <w:t>It does not change what a person sees</w:t>
      </w:r>
      <w:r>
        <w:t>, until Phase 5 adds the facility taxonomy panel. Every phase before that is structural.</w:t>
      </w:r>
    </w:p>
    <w:p>
      <w:pPr>
        <w:pStyle w:val="ListBullet"/>
      </w:pPr>
      <w:r>
        <w:rPr>
          <w:b/>
        </w:rPr>
        <w:t>It does not fix the findings.</w:t>
      </w:r>
      <w:r>
        <w:t xml:space="preserve"> The forgeable presence proof, the agent's unconditioned Owner, the cross-frame code execution, the scoped-fire destruction — those are yours to schedule and none is in scope here.</w:t>
      </w:r>
    </w:p>
    <w:p>
      <w:pPr>
        <w:pStyle w:val="ListBullet"/>
      </w:pPr>
      <w:r>
        <w:rPr>
          <w:b/>
        </w:rPr>
        <w:t>It does not close the general case of BUG-008.</w:t>
      </w:r>
      <w:r>
        <w:t xml:space="preserve"> Gate 2 closes the tool-level reverse direction. That what is </w:t>
      </w:r>
      <w:r>
        <w:rPr>
          <w:i/>
        </w:rPr>
        <w:t>deployed</w:t>
      </w:r>
      <w:r>
        <w:t xml:space="preserve"> is not held to what the repository says remains open and is larger than this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