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r>
        <w:rPr>
          <w:rFonts w:cs="Calibri"/>
          <w:color w:val="4A5568"/>
        </w:rPr>
        <w:t>EPIC-008-F-002 — Engineering Rules Enforcement</w:t>
      </w:r>
      <w:r>
        <w:rPr>
          <w:rFonts w:cs="Calibri"/>
          <w:color w:val="4A5568"/>
        </w:rPr>
        <w:br/>
        <w:t>Design — V20 (dev) | April 27, 2026</w:t>
      </w:r>
      <w:r>
        <w:rPr>
          <w:rFonts w:cs="Calibri"/>
          <w:color w:val="4A5568"/>
        </w:rPr>
        <w:br/>
        <w:t>Backlog: EPIC-008-F-002 · Author: Skip Snow (with Claude)</w:t>
      </w:r>
    </w:p>
    <w:p w14:paraId="0B00978A" w14:textId="77777777" w:rsidR="00FE5B4A" w:rsidRDefault="00FE5B4A" w:rsidP="00FE5B4A">
      <w:pPr>
        <w:spacing w:after="0"/>
      </w:pPr>
      <w:r>
        <w:rPr>
          <w:rFonts w:cs="Calibri"/>
          <w:color w:val="4A5568"/>
        </w:rPr>
        <w:t>Status: Approved</w:t>
      </w:r>
    </w:p>
    <w:p w14:paraId="0B00978A" w14:textId="77777777" w:rsidR="00FE5B4A" w:rsidRDefault="00FE5B4A" w:rsidP="00FE5B4A">
      <w:pPr>
        <w:spacing w:after="0"/>
      </w:pPr>
      <w:r>
        <w:t xml:space="preserve">V19 (2026-04-27): cleanup pass per architect directive. Removed defensive code with no TR trace; codified the 'implementation traces to requirements' principle (see §4.0). See implementation-invention-audit-V2.md for the disposition record.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561"/>
        <w:gridCol w:w="5295"/>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Owns scope evaluation (rows on the enforcement entry's scopes field), violation record shape, exit-code semantics, telemetry envelope, and structured error handling. Subclasses implement run() to orchestrate their domain checks.</w:t>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561"/>
        <w:gridCol w:w="5295"/>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 runs at the moment a violation can occur </w:t>
            </w:r>
            <w:r>
              <w:rPr>
                <w:rFonts w:cs="Calibri"/>
              </w:rPr>
              <w:lastRenderedPageBreak/>
              <w:t>—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lastRenderedPageBreak/>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lastRenderedPageBreak/>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r>
        <w:tc>
          <w:tcPr>
            <w:tcW w:type="dxa" w:w="3561"/>
          </w:tcPr>
          <w:p>
            <w:r>
              <w:t>BR-15</w:t>
            </w:r>
          </w:p>
        </w:tc>
        <w:tc>
          <w:tcPr>
            <w:tcW w:type="dxa" w:w="5295"/>
          </w:tcPr>
          <w:p>
            <w:r>
              <w:t>Validation MUST use the schema referenced by the JSON file's $schema URL.</w:t>
            </w:r>
          </w:p>
        </w:tc>
      </w:tr>
      <w:tr>
        <w:tc>
          <w:tcPr>
            <w:tcW w:type="dxa" w:w="3561"/>
          </w:tcPr>
          <w:p>
            <w:r>
              <w:t>BR-16</w:t>
            </w:r>
          </w:p>
        </w:tc>
        <w:tc>
          <w:tcPr>
            <w:tcW w:type="dxa" w:w="5295"/>
          </w:tcPr>
          <w:p>
            <w:r>
              <w:t>External standards used by the framework MUST be committed to the repository.</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lastRenderedPageBreak/>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t>3. Technical Requirements</w:t>
      </w:r>
    </w:p>
    <w:p w14:paraId="114E0015" w14:textId="77777777" w:rsidR="00072494" w:rsidRDefault="00000000">
      <w:r>
        <w:rPr>
          <w:rFonts w:cs="Calibri"/>
        </w:rPr>
        <w:t>This section enumerates the technical requirements that flow from §2's business requirements.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86"/>
        <w:gridCol w:w="8370"/>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1A6A5CF0" w14:textId="77777777" w:rsidR="001452BB" w:rsidRDefault="00000000">
            <w:pPr>
              <w:cnfStyle w:val="000000100000" w:firstRow="0" w:lastRow="0" w:firstColumn="0" w:lastColumn="0" w:oddVBand="0" w:evenVBand="0" w:oddHBand="1" w:evenHBand="0" w:firstRowFirstColumn="0" w:firstRowLastColumn="0" w:lastRowFirstColumn="0" w:lastRowLastColumn="0"/>
            </w:pPr>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w:t>
            </w:r>
            <w:r>
              <w:rPr>
                <w:rFonts w:cs="Calibri"/>
              </w:rPr>
              <w:lastRenderedPageBreak/>
              <w:t>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lastRenderedPageBreak/>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w:t>
            </w:r>
            <w:r>
              <w:rPr>
                <w:rFonts w:cs="Calibri"/>
                <w:color w:val="0D1117"/>
                <w:sz w:val="20"/>
              </w:rPr>
              <w:lastRenderedPageBreak/>
              <w:t>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lastRenderedPageBreak/>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w:t>
            </w:r>
            <w:r>
              <w:lastRenderedPageBreak/>
              <w:t>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Tests live at projectRoot/architecture/EngineeringRuleEnforcement/tests/. The base class ships with its own test suite covering scope evaluation, exit-code semantics, violation </w:t>
            </w:r>
            <w:r>
              <w:rPr>
                <w:rFonts w:cs="Calibri"/>
              </w:rPr>
              <w:lastRenderedPageBreak/>
              <w:t>shape, telemetry envelope, and the try/except fail-safe. Each new worker ships with at least one happy-path and one violation-path test.</w:t>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lastRenderedPageBreak/>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r>
        <w:tc>
          <w:tcPr>
            <w:tcW w:type="dxa" w:w="486"/>
          </w:tcPr>
          <w:p>
            <w:r>
              <w:t>TR-18</w:t>
            </w:r>
          </w:p>
        </w:tc>
        <w:tc>
          <w:tcPr>
            <w:tcW w:type="dxa" w:w="8370"/>
          </w:tcPr>
          <w:p>
            <w: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tc>
          <w:tcPr>
            <w:tcW w:type="dxa" w:w="486"/>
          </w:tcPr>
          <w:p>
            <w:r>
              <w:t>TR-19</w:t>
            </w:r>
          </w:p>
        </w:tc>
        <w:tc>
          <w:tcPr>
            <w:tcW w:type="dxa" w:w="8370"/>
          </w:tcPr>
          <w:p>
            <w: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t xml:space="preserve">4.0 Implementation discipline</w:t>
      </w:r>
    </w:p>
    <w:p w14:paraId="0C3625F2" w14:textId="77777777" w:rsidR="00072494" w:rsidRDefault="00000000">
      <w:r>
        <w:t xml:space="preserve">Principle (V19, 2026-04-27). Implementation traces to technical requirements, not to design choices or defensive habits. If no TR calls for a check, it must not be added. Schema validation enforces input shape upstream (commit-time via Rule-008-ENF-001). Workers must rely on that contract; runtime defensive duplication is forbidden. The framework's generic except Exception triage in main() is the only documented catch site for unexpected exceptions.</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14:paraId="6CCCD587" w14:textId="77777777" w:rsidR="00072494" w:rsidRDefault="00000000">
      <w:pPr>
        <w:jc w:val="center"/>
      </w:pPr>
      <w:r>
        <w:rPr>
          <w:noProof/>
        </w:rPr>
        <w:lastRenderedPageBreak/>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w:t>
      </w:r>
      <w:r>
        <w:rPr>
          <w:rFonts w:cs="Calibri"/>
        </w:rPr>
        <w:lastRenderedPageBreak/>
        <w:t>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 xml:space="preserve">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w:t>
      </w:r>
      <w:r>
        <w:rPr>
          <w:rFonts w:cs="Calibri"/>
        </w:rPr>
        <w:lastRenderedPageBreak/>
        <w:t>that declare requires_lock = True, and worker-internal non-mutex coordination for everything else.</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2360"/>
        <w:gridCol w:w="827"/>
        <w:gridCol w:w="566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1452BB" w14:paraId="1E066CC2"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F5A4F" w14:textId="77777777" w:rsidR="00072494" w:rsidRDefault="00000000">
            <w:r>
              <w:rPr>
                <w:rFonts w:cs="Calibri"/>
                <w:b w:val="0"/>
              </w:rPr>
              <w:t>DEFAULT_TIMEOUT_SECONDS</w:t>
            </w:r>
          </w:p>
        </w:tc>
        <w:tc>
          <w:tcPr>
            <w:tcW w:w="2880" w:type="dxa"/>
          </w:tcPr>
          <w:p w14:paraId="588840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E22F46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2BD0D6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Validate hook_name; store</w:t>
            </w:r>
          </w:p>
        </w:tc>
      </w:tr>
      <w:tr w:rsidR="00072494" w14:paraId="19B7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7357A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 If the manager-level wall-clock budget (§4.3.2) is exceeded, returns EXIT_MANAGER_ERROR (2).</w:t>
            </w:r>
          </w:p>
        </w:tc>
      </w:tr>
      <w:tr w:rsidR="00072494" w14:paraId="44A2C0C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load of engineering_rules.json</w:t>
            </w:r>
          </w:p>
        </w:tc>
      </w:tr>
      <w:tr w:rsidR="00072494" w14:paraId="7030A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7870C70" w14:textId="77777777" w:rsidR="001452BB" w:rsidRDefault="00000000">
            <w:pPr>
              <w:cnfStyle w:val="000000010000" w:firstRow="0" w:lastRow="0" w:firstColumn="0" w:lastColumn="0" w:oddVBand="0" w:evenVBand="0" w:oddHBand="0" w:evenHBand="1" w:firstRowFirstColumn="0" w:firstRowLastColumn="0" w:lastRowFirstColumn="0" w:lastRowLastColumn="0"/>
            </w:pPr>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4AC2C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precedence 2 &gt; 3 &gt; 5 &gt; 4 &gt; 1 &gt; 0; default to 0 if empty</w:t>
            </w:r>
          </w:p>
        </w:tc>
      </w:tr>
      <w:tr w:rsidR="001452BB" w14:paraId="1C58AE58"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2F52D36" w14:textId="77777777" w:rsidR="001452BB" w:rsidRDefault="00000000">
            <w:r>
              <w:t>_acquire_lock(enforcement_id)</w:t>
            </w:r>
          </w:p>
        </w:tc>
        <w:tc>
          <w:tcPr>
            <w:tcW w:w="976" w:type="dxa"/>
          </w:tcPr>
          <w:p w14:paraId="62D4224B" w14:textId="77777777" w:rsidR="001452BB" w:rsidRDefault="00000000">
            <w:pPr>
              <w:cnfStyle w:val="000000010000" w:firstRow="0" w:lastRow="0" w:firstColumn="0" w:lastColumn="0" w:oddVBand="0" w:evenVBand="0" w:oddHBand="0" w:evenHBand="1" w:firstRowFirstColumn="0" w:firstRowLastColumn="0" w:lastRowFirstColumn="0" w:lastRowLastColumn="0"/>
            </w:pPr>
            <w:r>
              <w:t>Lock</w:t>
            </w:r>
          </w:p>
        </w:tc>
        <w:tc>
          <w:tcPr>
            <w:tcW w:w="4879" w:type="dxa"/>
          </w:tcPr>
          <w:p w14:paraId="7F34817E" w14:textId="77777777" w:rsidR="001452BB" w:rsidRDefault="00000000">
            <w:pPr>
              <w:cnfStyle w:val="000000010000" w:firstRow="0" w:lastRow="0" w:firstColumn="0" w:lastColumn="0" w:oddVBand="0" w:evenVBand="0" w:oddHBand="0" w:evenHBand="1" w:firstRowFirstColumn="0" w:firstRowLastColumn="0" w:lastRowFirstColumn="0" w:lastRowLastColumn="0"/>
            </w:pPr>
            <w:r>
              <w:t>Acquire a process-safe lock identified by enforcement_id. Default implementation: advisory file lock at projectRoot/architecture/EngineeringRuleEnforcement/locks/&lt;enforcement_id&gt;.lock. Blocks until acquired. Returns the lock handle.</w:t>
            </w:r>
          </w:p>
        </w:tc>
      </w:tr>
      <w:tr w:rsidR="001452BB" w14:paraId="09B05B17"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1252B48" w14:textId="77777777" w:rsidR="001452BB" w:rsidRDefault="00000000">
            <w:r>
              <w:t>_release_lock(lock)</w:t>
            </w:r>
          </w:p>
        </w:tc>
        <w:tc>
          <w:tcPr>
            <w:tcW w:w="976" w:type="dxa"/>
          </w:tcPr>
          <w:p w14:paraId="59FA1D4E" w14:textId="77777777" w:rsidR="001452BB" w:rsidRDefault="00000000">
            <w:pPr>
              <w:cnfStyle w:val="000000100000" w:firstRow="0" w:lastRow="0" w:firstColumn="0" w:lastColumn="0" w:oddVBand="0" w:evenVBand="0" w:oddHBand="1" w:evenHBand="0" w:firstRowFirstColumn="0" w:firstRowLastColumn="0" w:lastRowFirstColumn="0" w:lastRowLastColumn="0"/>
            </w:pPr>
            <w:r>
              <w:t>None</w:t>
            </w:r>
          </w:p>
        </w:tc>
        <w:tc>
          <w:tcPr>
            <w:tcW w:w="4879" w:type="dxa"/>
          </w:tcPr>
          <w:p w14:paraId="6B43235B" w14:textId="77777777" w:rsidR="001452BB" w:rsidRDefault="00000000">
            <w:pPr>
              <w:cnfStyle w:val="000000100000" w:firstRow="0" w:lastRow="0" w:firstColumn="0" w:lastColumn="0" w:oddVBand="0" w:evenVBand="0" w:oddHBand="1" w:evenHBand="0" w:firstRowFirstColumn="0" w:firstRowLastColumn="0" w:lastRowFirstColumn="0" w:lastRowLastColumn="0"/>
            </w:pPr>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lastRenderedPageBreak/>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p>
        </w:tc>
        <w:tc>
          <w:tcPr>
            <w:tcW w:w="2880" w:type="dxa"/>
          </w:tcPr>
          <w:p w14:paraId="0F4776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Walk this resource's matching rows in self.scopes for the current check (filtered by function_name) in fixed precedence: excluded_exact → excluded_pattern → allowed_exact → allowed_pattern → </w:t>
            </w:r>
            <w:r>
              <w:rPr>
                <w:rFonts w:cs="Calibri"/>
              </w:rPr>
              <w:lastRenderedPageBreak/>
              <w:t>SCOPE_DEFAULT.</w:t>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lastRenderedPageBreak/>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Emits a violation record per TR-6 (record shape): {enforcement_id, rule_id, resource, message, severity}, written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Emits start and end telemetry per TR-7 (envelope shape): two records per worker invocation carrying enforcement_id, hook, phase, duration_ms, files_scanned, violation_count, exit_code, written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4EE4DE70" w14:textId="77777777" w:rsidR="00072494" w:rsidRDefault="00000000">
      <w:r>
        <w:rPr>
          <w:rFonts w:cs="Calibri"/>
          <w:color w:val="0D1117"/>
        </w:rPr>
        <w:t xml:space="preserve">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w:t>
      </w:r>
      <w:r>
        <w:rPr>
          <w:rFonts w:cs="Calibri"/>
          <w:color w:val="0D1117"/>
        </w:rPr>
        <w:lastRenderedPageBreak/>
        <w:t>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 xml:space="preserve">The manager never reads, validates, or interprets SCOPES content. It dispatches by enforcement_id + hook only. SCOPES validation happens at the JSON Schema layer (the schema validator catches malformed scopes fields before the manager ever runs); SCOPES </w:t>
      </w:r>
      <w:r>
        <w:rPr>
          <w:rFonts w:cs="Calibri"/>
          <w:color w:val="0D1117"/>
        </w:rPr>
        <w:lastRenderedPageBreak/>
        <w:t>interpretation happens inside the worker. This preserves the manager-worker contract isolation in TR-14.</w:t>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703"/>
        <w:gridCol w:w="1174"/>
        <w:gridCol w:w="2928"/>
        <w:gridCol w:w="3051"/>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w:t>
            </w:r>
            <w:r>
              <w:rPr>
                <w:rFonts w:cs="Calibri"/>
                <w:b w:val="0"/>
              </w:rPr>
              <w:lastRenderedPageBreak/>
              <w: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Repo-relative path to the </w:t>
            </w:r>
            <w:r>
              <w:rPr>
                <w:rFonts w:cs="Calibri"/>
              </w:rPr>
              <w:lastRenderedPageBreak/>
              <w:t>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lastRenderedPageBreak/>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5E1947BD"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DA32CBD" w14:textId="77777777" w:rsidR="001452BB" w:rsidRDefault="00000000">
            <w:r>
              <w:t>timeout</w:t>
            </w:r>
          </w:p>
        </w:tc>
        <w:tc>
          <w:tcPr>
            <w:tcW w:w="1342" w:type="dxa"/>
          </w:tcPr>
          <w:p w14:paraId="07F82F06" w14:textId="77777777" w:rsidR="001452B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075" w:type="dxa"/>
          </w:tcPr>
          <w:p w14:paraId="57309CEB" w14:textId="77777777" w:rsidR="001452BB" w:rsidRDefault="00000000">
            <w:pPr>
              <w:cnfStyle w:val="000000010000" w:firstRow="0" w:lastRow="0" w:firstColumn="0" w:lastColumn="0" w:oddVBand="0" w:evenVBand="0" w:oddHBand="0" w:evenHBand="1" w:firstRowFirstColumn="0" w:firstRowLastColumn="0" w:lastRowFirstColumn="0" w:lastRowLastColumn="0"/>
            </w:pPr>
            <w:r>
              <w:t>No (defaults to manager constant DEFAULT_TIMEOUT_SECONDS = 30)</w:t>
            </w:r>
          </w:p>
        </w:tc>
        <w:tc>
          <w:tcPr>
            <w:tcW w:w="3774" w:type="dxa"/>
          </w:tcPr>
          <w:p w14:paraId="7F00D5DC" w14:textId="77777777" w:rsidR="001452BB" w:rsidRDefault="00000000">
            <w:pPr>
              <w:cnfStyle w:val="000000010000" w:firstRow="0" w:lastRow="0" w:firstColumn="0" w:lastColumn="0" w:oddVBand="0" w:evenVBand="0" w:oddHBand="0" w:evenHBand="1" w:firstRowFirstColumn="0" w:firstRowLastColumn="0" w:lastRowFirstColumn="0" w:lastRowLastColumn="0"/>
            </w:pPr>
            <w:r>
              <w:t xml:space="preserve">Seconds. Positive integer. The manager passes this value to subprocess.run(..., timeout=N). On timeout the manager kills the worker subprocess and returns EXIT_WORKER_TIMEOUT (4). The worker does not see this field; the timeout is enforced </w:t>
            </w:r>
            <w:r>
              <w:lastRenderedPageBreak/>
              <w:t>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lastRenderedPageBreak/>
        <w:t>4.7 Hook taxonomy</w:t>
      </w:r>
    </w:p>
    <w:p w14:paraId="41393E2F" w14:textId="77777777" w:rsidR="00072494" w:rsidRDefault="00000000">
      <w:r>
        <w:rPr>
          <w:rFonts w:cs="Calibri"/>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00000F60" w14:textId="77777777" w:rsidR="00072494" w:rsidRDefault="00000000">
      <w:r>
        <w:rPr>
          <w:rFonts w:cs="Calibri"/>
        </w:rPr>
        <w:t xml:space="preserve">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Inspect inbound user prompt; return additionalContext (or </w:t>
            </w:r>
            <w:r>
              <w:rPr>
                <w:rFonts w:cs="Calibri"/>
              </w:rPr>
              <w:lastRenderedPageBreak/>
              <w:t>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lastRenderedPageBreak/>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436"/>
        <w:gridCol w:w="263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PostResponseAuditEnforcementWorker (future)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lastRenderedPageBreak/>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p>
        </w:tc>
      </w:tr>
    </w:tbl>
    <w:p w14:paraId="3C432690" w14:textId="77777777" w:rsidR="00072494" w:rsidRDefault="00000000">
      <w:pPr>
        <w:pStyle w:val="Heading3"/>
      </w:pPr>
      <w:r>
        <w:rPr>
          <w:rFonts w:ascii="Calibri" w:hAnsi="Calibri" w:cs="Calibri"/>
          <w:color w:val="0D1117"/>
        </w:rPr>
        <w:lastRenderedPageBreak/>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50C3ABF0"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"Rule-008-ENF-001",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"requires_lock": false,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lastRenderedPageBreak/>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t>def _validate_json(self, data, schema) -&gt; list[jsonschema.exceptions.ValidationError]:</w:t>
        <w:br/>
        <w:t xml:space="preserve">    """Returns [] if valid; list of ValidationError if invalid.</w:t>
        <w:br/>
        <w:t xml:space="preserve">    Single responsibility: jsonschema.Draft202012Validator(schema).iter_errors(data)."""</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2153058C" w14:textId="77777777" w:rsidR="00072494" w:rsidRDefault="00000000">
      <w:r>
        <w:t>3. Resolve the $schema URL to a schema dictionary. The JSON file's "$schema" URL is the source of truth (V19 §4.9.3.1). The worker resolves it as follows: (a) if the URL is in the carve-out map of contractually-frozen external schemas (today: only the JSON Schema 2020-12 meta-schema URL https://json-schema.org/draft/2020-12/schema), use the locally cached copy at Website/schemas/standard/; (b) else if the URL is already in the per-run cache, use that; (c) else perform an HTTP GET on the URL with a 5-second timeout (urllib.request.urlopen, standard library only — no new dependency) and cache the parsed body. Any fetch failure (URLError, HTTPError, socket.timeout, OSError) or a non-JSON response body becomes a per-file ViolationRecord with message beginning "schema fetch failed:"; the worker does NOT raise WorkerInternalError on unreachable URLs (an unreachable schema URL is a deployment problem against the file that declared it, not a worker configuration error).</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t>5. Construct the validator. validator = jsonschema.Draft202012Validator(schema). The draft is fixed at 2020-12. No other drafts are supported. Do not call jsonschema.validate(); use the Validator class directly so iter_errors yields all errors. Note: under V18 the schema came from a network fetch (or the carve-out cache); a malformed-JSON response was already caught in step 3 as a per-file violation, so no separate WorkerInternalError path is needed here.</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t>Schema URL → schema dict resolution (V19, web-fetch with carve-out):</w:t>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t>Resolution mechanism (V19 §4.9.3)</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t>https://json-schema.org/draft/2020-12/schema</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t>Carve-out (frozen external) — local copy at Website/schemas/standard/json-schema-2020-12-meta.json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t>https://dev.chathealthy.ai/schemas/ChatHealthyAgileBacklogSchema.json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t>https://dev.chathealthy.ai/schemas/ChatHealthyBugsSchema.json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t>https://dev.chathealthy.ai/schemas/EngineeringRulesSchema.json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t>https://dev.chathealthy.ai/schemas/ChatHealthyRiskAcceptanceSchema.json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t>https://dev.chathealthy.ai/schemas/ChatHealthyVersionSchema.json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t>https://dev.chathealthy.ai/schemas/ChatHealthyErrorsSchema.json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t>Web fetch (HTTP GET, 5s timeout, per-run cache)</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t>https://dev.chathealthy.ai/schemas/ChatHealthyRelaxedSchema.json</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t>Web fetch (HTTP GET, 5s timeout, per-run cache)</w:t>
            </w:r>
          </w:p>
        </w:tc>
      </w:tr>
    </w:tbl>
    <w:p w14:paraId="734B070F" w14:textId="77777777" w:rsidR="00072494" w:rsidRDefault="00000000">
      <w: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 The one carve-out is the JSON Schema 2020-12 meta-schema, whose URL is contractually frozen by the JSON Schema spec maintainers (any change to the schema requires a new draft URL); a local copy lives at Website/schemas/standard/json-schema-2020-12-meta.json and is served directly without any HTTP call. See §4.9.3.1 for the carve-out policy and the boundary it draws around chathealthy.ai schemas.</w:t>
      </w:r>
    </w:p>
    <w:p>
      <w:pPr>
        <w:pStyle w:val="Heading4"/>
      </w:pPr>
      <w:r>
        <w:t>4.9.3.1 Carve-out policy for contractually-frozen external schemas</w:t>
      </w:r>
    </w:p>
    <w:p>
      <w:pPr/>
      <w:r>
        <w:t>Any URL placed in the carve-out map (self._frozen_external_schemas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pPr/>
      <w:r>
        <w:t>ChatHealthy.ai schemas are NEVER carve-outs. They are governed by the deploy pipeline; the worker fetches them at validation time. The rationale is asymmetric trust: we own chathealthy.ai schemas and can redeploy any update; we do not own the JSON Schema meta-schema and rely on its frozen URL contract.</w:t>
      </w:r>
    </w:p>
    <w:p>
      <w:pPr/>
      <w: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r>
              <w:t>JSON whose $schema URL is unreachable or returns non-JSON content</w:t>
            </w:r>
          </w:p>
        </w:tc>
        <w:tc>
          <w:tcPr>
            <w:tcW w:w="2880" w:type="dxa"/>
          </w:tcPr>
          <w:p>
            <w:r>
              <w:t>One ViolationRecord (fetch failure); worker continues</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t>def _validate_json(self, data, schema) -&gt; list[jsonschema.exceptions.ValidationError]:</w:t>
        <w:br/>
        <w:t xml:space="preserve">    """JSON validation per design §4.9.3. SOLE arbiter: jsonschema.Draft202012Validator.</w:t>
        <w:br/>
        <w:t xml:space="preserve">    Do not invent. See §4.9.3 for the binding contract.</w:t>
        <w:br/>
        <w:t xml:space="preserve">    """</w:t>
        <w:br/>
        <w:t xml:space="preserve">    return list(jsonschema.Draft202012Validator(schema).iter_errors(data))</w:t>
        <w:br/>
        <w:br/>
        <w:t># Resolution (orchestrated by _check_one_file_json):</w:t>
        <w:br/>
        <w:t># 1. data = self._load_data(file_path)</w:t>
        <w:br/>
        <w:t># 2. schema_url = data["$schema"]</w:t>
        <w:br/>
        <w:t># 3. schema = self._resolve_schema(file_path, schema_url)</w:t>
        <w:br/>
        <w:t>#    a. carve-out lookup (frozen external)</w:t>
        <w:br/>
        <w:t>#    b. per-run cache lookup</w:t>
        <w:br/>
        <w:t>#    c. urllib.request.urlopen(schema_url, timeout=5); fetch failure -&gt; per-file violation</w:t>
        <w:br/>
        <w:t># 4. errors = self._validate_json(data, schema)</w:t>
        <w:br/>
        <w:t># 5. map each ValidationError to a ViolationRecord</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Design docs and other business-facing artifacts </w:t>
            </w:r>
            <w:r>
              <w:rPr>
                <w:rFonts w:cs="Calibri"/>
              </w:rPr>
              <w:lastRenderedPageBreak/>
              <w:t>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 xml:space="preserve">Manager → Git/Claude </w:t>
            </w:r>
            <w:r>
              <w:rPr>
                <w:rFonts w:cs="Calibri"/>
                <w:b w:val="0"/>
              </w:rPr>
              <w:lastRenderedPageBreak/>
              <w:t>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worst code by precedence (2 &gt; </w:t>
            </w:r>
            <w:r>
              <w:rPr>
                <w:rFonts w:cs="Calibri"/>
              </w:rPr>
              <w:lastRenderedPageBreak/>
              <w:t>3 &gt; 5 &gt; 4 &gt; 1 &gt; 0), structured 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w:t>
            </w:r>
            <w:r>
              <w:rPr>
                <w:rFonts w:cs="Calibri"/>
              </w:rPr>
              <w:lastRenderedPageBreak/>
              <w:t>preserved on stdout; the worst 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p>
    <w:p w14:paraId="1D9B103D" w14:textId="77777777" w:rsidR="00072494" w:rsidRDefault="00000000">
      <w:r>
        <w:t>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785"/>
        <w:gridCol w:w="4121"/>
        <w:gridCol w:w="2950"/>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lastRenderedPageBreak/>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Attach the HTTP scan as a rule_statement under an existing security rule. Update the §4.9.2 enforcement entry's rule_id to match. Decide before the first enforcement_id is minted.</w:t>
            </w:r>
          </w:p>
        </w:tc>
      </w:tr>
      <w:tr w:rsidR="00072494" w14:paraId="4B3AA38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60CAB413"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Subprocess timeout default. The manager invokes subprocess.run(..., timeout=...). What default is appropriate for the V1 pre-commit scan, and is it overridable per worker?</w:t>
            </w:r>
          </w:p>
        </w:tc>
        <w:tc>
          <w:tcPr>
            <w:tcW w:w="2880" w:type="dxa"/>
          </w:tcPr>
          <w:p w14:paraId="5B6B146B"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lastRenderedPageBreak/>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p>
      <w:pPr>
        <w:pStyle w:val="Heading1"/>
      </w:pPr>
      <w:r>
        <w:t>V20 Change Log (from V19) (2026-04-27)</w:t>
      </w:r>
    </w:p>
    <w:p>
      <w:r>
        <w:t>Doc-alignment pass (post-cleanup commit d7b3c6b) re-walked V19 against the shipped implementation and found three intra-V19 self-references that still cited V18 instead of V19. These were stale labels carried forward from the V18 to V19 rename; the surrounding behavior, tables, and step-numbering are unchanged. The code is correct; V19 was edited to match.</w:t>
      </w:r>
    </w:p>
    <w:p>
      <w:r>
        <w:t>Edits made:</w:t>
      </w:r>
    </w:p>
    <w:p>
      <w:pPr>
        <w:pStyle w:val="ListBullet"/>
      </w:pPr>
      <w:r>
        <w:t>Section 4.9.3 step 3 paragraph: '(V18 §4.9.3.1)' replaced with '(V19 §4.9.3.1)'. Self-reference to the carve-out subsection in this same V19 doc.</w:t>
      </w:r>
    </w:p>
    <w:p>
      <w:pPr>
        <w:pStyle w:val="ListBullet"/>
      </w:pPr>
      <w:r>
        <w:t>Section 4.9.3 sub-heading prose: 'Schema URL to schema dict resolution (V18, web-fetch with carve-out):' replaced with the V19 form. Same intra-doc self-reference issue.</w:t>
      </w:r>
    </w:p>
    <w:p>
      <w:pPr>
        <w:pStyle w:val="ListBullet"/>
      </w:pPr>
      <w:r>
        <w:t>Table 12 header (column 2): 'Resolution mechanism (V18 §4.9.3)' replaced with 'Resolution mechanism (V19 §4.9.3)'.</w:t>
      </w:r>
    </w:p>
    <w:p>
      <w:r>
        <w:t>Preserved as historical narrative (no edit):</w:t>
      </w:r>
    </w:p>
    <w:p>
      <w:pPr>
        <w:pStyle w:val="ListBullet"/>
      </w:pPr>
      <w:r>
        <w:t>Section 4.9.3 step 5 paragraph: 'Note: under V18 the schema came from a network fetch (or the carve-out cache); a malformed-JSON response was already caught in step 3 as a per-file violation.' This sentence describes the V18 behavior model that V19 inherits, and it is historical narrative explaining why step 5 does not need to re-check for malformed JSON; leaving the V18 reference intact preserves the historical explanation.</w:t>
      </w:r>
    </w:p>
    <w:p>
      <w:r>
        <w:t>TR to implementation traceability re-verified (2026-04-27):</w:t>
      </w:r>
    </w:p>
    <w:p>
      <w:pPr>
        <w:pStyle w:val="ListBullet"/>
      </w:pPr>
      <w:r>
        <w:t>TR-1 (enforcement-entry schema fields): EngineeringRulesSchema.json plus manager constructor; enforcement_id, hook, executable_path, requires_lock, scopes, optional timeout fields all present.</w:t>
      </w:r>
    </w:p>
    <w:p>
      <w:pPr>
        <w:pStyle w:val="ListBullet"/>
      </w:pPr>
      <w:r>
        <w:t>TR-2 (exit-code constants and aggregation): chathealthy_enforcement_manager.py lines 62-74 declare EXIT_OK through EXIT_WORKER_INTERNAL_ERROR; _aggregate at lines 271-279 implements precedence 2 &gt; 3 &gt; 5 &gt; 4 &gt; 1 &gt; 0; _spawn_worker at lines 265-266 promotes worker rc&gt;=3 to EXIT_WORKER_INTERNAL_ERROR.</w:t>
      </w:r>
    </w:p>
    <w:p>
      <w:pPr>
        <w:pStyle w:val="ListBullet"/>
      </w:pPr>
      <w:r>
        <w:t>TR-3 (manager load-filter-spawn): _load_rules at lines 113-117, _filter_enforcements at lines 119-138, _spawn_worker at lines 170-266.</w:t>
      </w:r>
    </w:p>
    <w:p>
      <w:pPr>
        <w:pStyle w:val="ListBullet"/>
      </w:pPr>
      <w:r>
        <w:t>TR-4 (EnforcementWorker base class): enforcement_worker.py line 106 declares the class; __init__ at 117-132, _load_enforcement at 137-151, is_in_scope at 185-226, main at 282-341.</w:t>
      </w:r>
    </w:p>
    <w:p>
      <w:pPr>
        <w:pStyle w:val="ListBullet"/>
      </w:pPr>
      <w:r>
        <w:t>TR-5 (fixed-precedence scope walk): enforcement_worker.py lines 185-226 is_in_scope walks excluded_exact, excluded_pattern, allowed_exact, allowed_pattern, then SCOPE_DEFAULT.</w:t>
      </w:r>
    </w:p>
    <w:p>
      <w:pPr>
        <w:pStyle w:val="ListBullet"/>
      </w:pPr>
      <w:r>
        <w:t>TR-6 (ViolationRecord shape): enforcement_worker.py lines 71-103 ViolationRecord class with enforcement_id, rule_id, resource, message, severity in {info,warn,error}.</w:t>
      </w:r>
    </w:p>
    <w:p>
      <w:pPr>
        <w:pStyle w:val="ListBullet"/>
      </w:pPr>
      <w:r>
        <w:t>TR-7 (telemetry envelope): enforcement_worker.py lines 256-276 _emit_telemetry; main emits start and end records at lines 306-313 and 331-339.</w:t>
      </w:r>
    </w:p>
    <w:p>
      <w:pPr>
        <w:pStyle w:val="ListBullet"/>
      </w:pPr>
      <w:r>
        <w:t>TR-8 (manager-owned mutex): chathealthy_enforcement_manager.py lines 149-165 _acquire_lock and _release_lock; FileLock keyed on enforcement_id.</w:t>
      </w:r>
    </w:p>
    <w:p>
      <w:pPr>
        <w:pStyle w:val="ListBullet"/>
      </w:pPr>
      <w:r>
        <w:t>TR-9 (ScanFilesEnforcementWorker): scan_files_enforcement_worker.py line 108 declares the class; run at lines 180-208 calls _scan_http then _check_one_file_json synchronously; requires_lock=False on the enforcement entry.</w:t>
      </w:r>
    </w:p>
    <w:p>
      <w:pPr>
        <w:pStyle w:val="ListBullet"/>
      </w:pPr>
      <w:r>
        <w:t>TR-10 (scope rows on the enforcement entry): does NOT override _load_scopes; inherits the default at enforcement_worker.py lines 153-160; _validate_scope_function_names at 162-180 fails loudly on a bad function_name.</w:t>
      </w:r>
    </w:p>
    <w:p>
      <w:pPr>
        <w:pStyle w:val="ListBullet"/>
      </w:pPr>
      <w:r>
        <w:t>TR-11 (BR-12/BR-13 _scan_http): scan_files_enforcement_worker.py lines 248-286 _scan_http; allowed_pattern URLs match _HTTP_URL_RE at line 74; rows pulled off self.scopes.</w:t>
      </w:r>
    </w:p>
    <w:p>
      <w:pPr>
        <w:pStyle w:val="ListBullet"/>
      </w:pPr>
      <w:r>
        <w:t>TR-12 (BR-11 _validate_json): scan_files_enforcement_worker.py lines 431-441 _validate_json is now a pure 4-line wrapper around jsonschema.Draft202012Validator(schema).iter_errors(data); _check_one_file_json at lines 291-336 orchestrates parse plus resolve plus validate.</w:t>
      </w:r>
    </w:p>
    <w:p>
      <w:pPr>
        <w:pStyle w:val="ListBullet"/>
      </w:pPr>
      <w:r>
        <w:t>TR-13 (preCommitScan.py retirement): Code/Shared/ops/tools/preCommitScan.py lines 43-49 no longer contain \.json$ in HTTP_EXEMPT_PATTERNS; line 53 SCAN_EXTENSIONS no longer contains '.json'.</w:t>
      </w:r>
    </w:p>
    <w:p>
      <w:pPr>
        <w:pStyle w:val="ListBullet"/>
      </w:pPr>
      <w:r>
        <w:t>TR-14 (manager-worker isolation): manager imports nothing from worker modules and vice versa; spawn contract is subprocess.run plus enforcement_id argv plus integer exit code.</w:t>
      </w:r>
    </w:p>
    <w:p>
      <w:pPr>
        <w:pStyle w:val="ListBullet"/>
      </w:pPr>
      <w:r>
        <w:t>TR-15 (tests under architecture/.../tests/): 86 tests pass; fixtures verified at architecture/EngineeringRuleEnforcement/tests/fixtures/json_validation/ (7 fixture files, one per Table 13 row).</w:t>
      </w:r>
    </w:p>
    <w:p>
      <w:pPr>
        <w:pStyle w:val="ListBullet"/>
      </w:pPr>
      <w:r>
        <w:t>TR-16 (hook plumbing): .git/hooks/* and .claude/settings.json wire each event to 'python -m chathealthy_enforcement_manager &lt;hook&gt;'. Out of scope for the F-002 test suite.</w:t>
      </w:r>
    </w:p>
    <w:p>
      <w:pPr>
        <w:pStyle w:val="ListBullet"/>
      </w:pPr>
      <w:r>
        <w:t>TR-17 (worker taxonomy): documentation TR; declared in section 4.7.</w:t>
      </w:r>
    </w:p>
    <w:p>
      <w:pPr>
        <w:pStyle w:val="ListBullet"/>
      </w:pPr>
      <w:r>
        <w:t>TR-18 (HTTPS GET schema resolution): scan_files_enforcement_worker.py lines 362-411 _fetch_schema_from_url; 5s timeout (_SCHEMA_FETCH_TIMEOUT_SECONDS=5); per-run cache (_fetched_schema_cache) cleared at start of run at line 189; HTTPError, URLError, socket.timeout, OSError, JSONDecodeError each map to a per-file ViolationRecord.</w:t>
      </w:r>
    </w:p>
    <w:p>
      <w:pPr>
        <w:pStyle w:val="ListBullet"/>
      </w:pPr>
      <w:r>
        <w:t>TR-19 (cached external standards): _load_frozen_external_schemas at lines 151-175; meta-schema URL https://json-schema.org/draft/2020-12/schema mapped to Website/schemas/standard/json-schema-2020-12-meta.json. ChatHealthy schemas are NEVER carve-outs (web-fetched at validation time).</w:t>
      </w:r>
    </w:p>
    <w:p>
      <w:r>
        <w:t>Table 13 fixture-row verification:</w:t>
      </w:r>
    </w:p>
    <w:p>
      <w:pPr>
        <w:pStyle w:val="ListBullet"/>
      </w:pPr>
      <w:r>
        <w:t>R1 (missing required field) -&gt; 01_missing_required_field.json: has $schema, missing 'kind' required field. MATCH.</w:t>
      </w:r>
    </w:p>
    <w:p>
      <w:pPr>
        <w:pStyle w:val="ListBullet"/>
      </w:pPr>
      <w:r>
        <w:t>R2 (type or enum violation) -&gt; 02_type_or_enum_violation.json: kind='delta' (not in enum), count=-1 (negative). MATCH.</w:t>
      </w:r>
    </w:p>
    <w:p>
      <w:pPr>
        <w:pStyle w:val="ListBullet"/>
      </w:pPr>
      <w:r>
        <w:t>R3 (no $schema field) -&gt; 03_no_schema_field.json: top-level object lacks $schema. MATCH.</w:t>
      </w:r>
    </w:p>
    <w:p>
      <w:pPr>
        <w:pStyle w:val="ListBullet"/>
      </w:pPr>
      <w:r>
        <w:t>R4 (unreachable $schema URL) -&gt; 04_unreachable_schema_url.json: $schema='https://dev.chathealthy.ai/schemas/ThisSchemaDoesNotExistOnDisk.json'. MATCH (file renamed in d7b3c6b from 04_missing_local_schema.json - F1-001 disposition).</w:t>
      </w:r>
    </w:p>
    <w:p>
      <w:pPr>
        <w:pStyle w:val="ListBullet"/>
      </w:pPr>
      <w:r>
        <w:t>R5 (malformed syntax) -&gt; 05_malformed_syntax.json: trailing comma after 'kind': 'alpha'. MATCH.</w:t>
      </w:r>
    </w:p>
    <w:p>
      <w:pPr>
        <w:pStyle w:val="ListBullet"/>
      </w:pPr>
      <w:r>
        <w:t>R6 (excluded by scope) -&gt; 06_excluded_skipped.json: uses an invalid kind value, but the fixtures path is in the excluded_pattern row of the enforcement entry, so it is never validated. MATCH.</w:t>
      </w:r>
    </w:p>
    <w:p>
      <w:pPr>
        <w:pStyle w:val="ListBullet"/>
      </w:pPr>
      <w:r>
        <w:t>R7 (clean) -&gt; 07_clean.json: has $schema, valid name/kind/count. MATCH.</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452BB"/>
    <w:rsid w:val="0015074B"/>
    <w:rsid w:val="001F31C4"/>
    <w:rsid w:val="0029639D"/>
    <w:rsid w:val="00326F90"/>
    <w:rsid w:val="003A4E88"/>
    <w:rsid w:val="00466251"/>
    <w:rsid w:val="00510C7D"/>
    <w:rsid w:val="00582A66"/>
    <w:rsid w:val="007C47D7"/>
    <w:rsid w:val="0089072B"/>
    <w:rsid w:val="008D19D5"/>
    <w:rsid w:val="009070A2"/>
    <w:rsid w:val="00AA1D8D"/>
    <w:rsid w:val="00B47730"/>
    <w:rsid w:val="00C22547"/>
    <w:rsid w:val="00C82F57"/>
    <w:rsid w:val="00CB0664"/>
    <w:rsid w:val="00D436C4"/>
    <w:rsid w:val="00DA416F"/>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9944</Words>
  <Characters>64146</Characters>
  <Application>Microsoft Office Word</Application>
  <DocSecurity>0</DocSecurity>
  <Lines>1644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2026-04-27T19:39:00Z</dcterms:created>
  <dcterms:modified xsi:type="dcterms:W3CDTF">2026-04-27T19:39:00Z</dcterms:modified>
  <cp:category/>
</cp:coreProperties>
</file>