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Deploying the Rule Enforcements</w:t>
      </w:r>
    </w:p>
    <w:p>
      <w:r>
        <w:rPr>
          <w:color w:val="606060"/>
        </w:rPr>
        <w:t>EPIC-008-F-002 / target_host_local_devops / design V2, 2026-08-08</w:t>
      </w:r>
    </w:p>
    <w:p>
      <w:pPr>
        <w:pStyle w:val="Heading1"/>
      </w:pPr>
      <w:r>
        <w:t>What the requirements already fix</w:t>
      </w:r>
    </w:p>
    <w:p>
      <w:r>
        <w:t>Five approved requirements decide most of this design before it starts. They are not background; they are the constraint, and V1 of this document violated all five.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Requirement</w:t>
            </w:r>
          </w:p>
        </w:tc>
        <w:tc>
          <w:tcPr>
            <w:tcW w:type="dxa" w:w="4320"/>
          </w:tcPr>
          <w:p>
            <w:r>
              <w:rPr>
                <w:b/>
                <w:sz w:val="18"/>
              </w:rPr>
              <w:t>Constraint</w:t>
            </w:r>
          </w:p>
        </w:tc>
      </w:tr>
      <w:tr>
        <w:tc>
          <w:tcPr>
            <w:tcW w:type="dxa" w:w="4320"/>
          </w:tcPr>
          <w:p>
            <w:r>
              <w:rPr>
                <w:sz w:val="18"/>
              </w:rPr>
              <w:t>S-003-REQ-T-001</w:t>
            </w:r>
          </w:p>
        </w:tc>
        <w:tc>
          <w:tcPr>
            <w:tcW w:type="dxa" w:w="4320"/>
          </w:tcPr>
          <w:p>
            <w:r>
              <w:rPr>
                <w:sz w:val="18"/>
              </w:rPr>
              <w:t>executable_path is a repo-relative path to the worker script</w:t>
            </w:r>
          </w:p>
        </w:tc>
      </w:tr>
      <w:tr>
        <w:tc>
          <w:tcPr>
            <w:tcW w:type="dxa" w:w="4320"/>
          </w:tcPr>
          <w:p>
            <w:r>
              <w:rPr>
                <w:sz w:val="18"/>
              </w:rPr>
              <w:t>S-003-REQ-B-009</w:t>
            </w:r>
          </w:p>
        </w:tc>
        <w:tc>
          <w:tcPr>
            <w:tcW w:type="dxa" w:w="4320"/>
          </w:tcPr>
          <w:p>
            <w:r>
              <w:rPr>
                <w:sz w:val="18"/>
              </w:rPr>
              <w:t>Filesystem mirrors operating model; home is projectRoot/architecture/EngineeringRuleEnforcement/</w:t>
            </w:r>
          </w:p>
        </w:tc>
      </w:tr>
      <w:tr>
        <w:tc>
          <w:tcPr>
            <w:tcW w:type="dxa" w:w="4320"/>
          </w:tcPr>
          <w:p>
            <w:r>
              <w:rPr>
                <w:sz w:val="18"/>
              </w:rPr>
              <w:t>S-003-REQ-T-002</w:t>
            </w:r>
          </w:p>
        </w:tc>
        <w:tc>
          <w:tcPr>
            <w:tcW w:type="dxa" w:w="4320"/>
          </w:tcPr>
          <w:p>
            <w:r>
              <w:rPr>
                <w:sz w:val="18"/>
              </w:rPr>
              <w:t>The manager lives at projectRoot/architecture/EngineeringRuleEnforcement/code/</w:t>
            </w:r>
          </w:p>
        </w:tc>
      </w:tr>
      <w:tr>
        <w:tc>
          <w:tcPr>
            <w:tcW w:type="dxa" w:w="4320"/>
          </w:tcPr>
          <w:p>
            <w:r>
              <w:rPr>
                <w:sz w:val="18"/>
              </w:rPr>
              <w:t>S-003-REQ-T-010</w:t>
            </w:r>
          </w:p>
        </w:tc>
        <w:tc>
          <w:tcPr>
            <w:tcW w:type="dxa" w:w="4320"/>
          </w:tcPr>
          <w:p>
            <w:r>
              <w:rPr>
                <w:sz w:val="18"/>
              </w:rPr>
              <w:t>Hooks invoke python &lt;repo-root&gt;/architecture/.../chathealthy_enforcement_manager.py</w:t>
            </w:r>
          </w:p>
        </w:tc>
      </w:tr>
      <w:tr>
        <w:tc>
          <w:tcPr>
            <w:tcW w:type="dxa" w:w="4320"/>
          </w:tcPr>
          <w:p>
            <w:r>
              <w:rPr>
                <w:sz w:val="18"/>
              </w:rPr>
              <w:t>S-004-REQ-T-002</w:t>
            </w:r>
          </w:p>
        </w:tc>
        <w:tc>
          <w:tcPr>
            <w:tcW w:type="dxa" w:w="4320"/>
          </w:tcPr>
          <w:p>
            <w:r>
              <w:rPr>
                <w:sz w:val="18"/>
              </w:rPr>
              <w:t>The worked-example worker lives at projectRoot/architecture/EngineeringRuleEnforcement/code/</w:t>
            </w:r>
          </w:p>
        </w:tc>
      </w:tr>
    </w:tbl>
    <w:p>
      <w:r>
        <w:t>So the repository is the deployment substrate. That is a decision already taken, not an accident that grew. Filesystem mirrors operating model says the layout on disk is the layout of the thing. Staging a copy under a separate root would contradict it.</w:t>
      </w:r>
    </w:p>
    <w:p>
      <w:r>
        <w:t>Deployment therefore means: the repository, at a known commit, present on the host, with the hooks registered and the service installed. There is no build output for the Python, because there is not meant to be one.</w:t>
      </w:r>
    </w:p>
    <w:p>
      <w:pPr>
        <w:pStyle w:val="Heading1"/>
      </w:pPr>
      <w:r>
        <w:t>Verified state, 2026-08-08</w:t>
      </w:r>
    </w:p>
    <w:p>
      <w:r>
        <w:t>Every enforcement resolves from the repository root today. Nothing has drifted.</w:t>
      </w:r>
    </w:p>
    <w:p>
      <w:r>
        <w:rPr>
          <w:rFonts w:ascii="Consolas" w:hAnsi="Consolas"/>
          <w:sz w:val="18"/>
        </w:rPr>
        <w:t xml:space="preserve">  13 enforcements, 11 distinct workers</w:t>
        <w:br/>
        <w:t xml:space="preserve">  non-repo-relative paths ............ 0</w:t>
        <w:br/>
        <w:t xml:space="preserve">  workers resolving to a real file ... 11 / 11</w:t>
        <w:br/>
        <w:t xml:space="preserve">  PROJECT_ROOT ...................... C:\CHATHealthyLLC  ==  repo root</w:t>
        <w:br/>
        <w:t xml:space="preserve">  settings.json ..................... $CLAUDE_PROJECT_DIR/.../manager.py</w:t>
      </w:r>
    </w:p>
    <w:p>
      <w:pPr>
        <w:pStyle w:val="Heading1"/>
      </w:pPr>
      <w:r>
        <w:t>How resolution works</w:t>
      </w:r>
    </w:p>
    <w:p>
      <w:r>
        <w:t>Two indirections carry the whole system, and understanding them is what makes deployment a short list rather than a project.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Level</w:t>
            </w:r>
          </w:p>
        </w:tc>
        <w:tc>
          <w:tcPr>
            <w:tcW w:type="dxa" w:w="2880"/>
          </w:tcPr>
          <w:p>
            <w:r>
              <w:rPr>
                <w:b/>
                <w:sz w:val="18"/>
              </w:rPr>
              <w:t>Who names it</w:t>
            </w:r>
          </w:p>
        </w:tc>
        <w:tc>
          <w:tcPr>
            <w:tcW w:type="dxa" w:w="2880"/>
          </w:tcPr>
          <w:p>
            <w:r>
              <w:rPr>
                <w:b/>
                <w:sz w:val="18"/>
              </w:rPr>
              <w:t>Where</w:t>
            </w:r>
          </w:p>
        </w:tc>
      </w:tr>
      <w:tr>
        <w:tc>
          <w:tcPr>
            <w:tcW w:type="dxa" w:w="2880"/>
          </w:tcPr>
          <w:p>
            <w:r>
              <w:rPr>
                <w:sz w:val="18"/>
              </w:rPr>
              <w:t>Master</w:t>
            </w:r>
          </w:p>
        </w:tc>
        <w:tc>
          <w:tcPr>
            <w:tcW w:type="dxa" w:w="2880"/>
          </w:tcPr>
          <w:p>
            <w:r>
              <w:rPr>
                <w:sz w:val="18"/>
              </w:rPr>
              <w:t>settings.json names the enforcement manager</w:t>
            </w:r>
          </w:p>
        </w:tc>
        <w:tc>
          <w:tcPr>
            <w:tcW w:type="dxa" w:w="2880"/>
          </w:tcPr>
          <w:p>
            <w:r>
              <w:rPr>
                <w:sz w:val="18"/>
              </w:rPr>
              <w:t>.claude/settings.json</w:t>
            </w:r>
          </w:p>
        </w:tc>
      </w:tr>
      <w:tr>
        <w:tc>
          <w:tcPr>
            <w:tcW w:type="dxa" w:w="2880"/>
          </w:tcPr>
          <w:p>
            <w:r>
              <w:rPr>
                <w:sz w:val="18"/>
              </w:rPr>
              <w:t>Worker</w:t>
            </w:r>
          </w:p>
        </w:tc>
        <w:tc>
          <w:tcPr>
            <w:tcW w:type="dxa" w:w="2880"/>
          </w:tcPr>
          <w:p>
            <w:r>
              <w:rPr>
                <w:sz w:val="18"/>
              </w:rPr>
              <w:t>engineering_rules.json names each worker</w:t>
            </w:r>
          </w:p>
        </w:tc>
        <w:tc>
          <w:tcPr>
            <w:tcW w:type="dxa" w:w="2880"/>
          </w:tcPr>
          <w:p>
            <w:r>
              <w:rPr>
                <w:sz w:val="18"/>
              </w:rPr>
              <w:t>enforcement.executable_path</w:t>
            </w:r>
          </w:p>
        </w:tc>
      </w:tr>
    </w:tbl>
    <w:p>
      <w:r>
        <w:t>settings.json never learns which workers exist. Adding, moving or retiring a worker is a registry edit and nothing else.</w:t>
      </w:r>
    </w:p>
    <w:p>
      <w:r>
        <w:t>Every worker path then resolves through one line:</w:t>
      </w:r>
    </w:p>
    <w:p>
      <w:r>
        <w:rPr>
          <w:rFonts w:ascii="Consolas" w:hAnsi="Consolas"/>
          <w:sz w:val="18"/>
        </w:rPr>
        <w:t xml:space="preserve">  chathealthy_enforcement_manager.py:204</w:t>
        <w:br/>
        <w:t xml:space="preserve">      executable_path = (PROJECT_ROOT / enforcement["executable_path"]).resolve()</w:t>
        <w:br/>
        <w:br/>
        <w:t xml:space="preserve">  PROJECT_ROOT = Path(__file__).resolve().parents[3]</w:t>
      </w:r>
    </w:p>
    <w:p>
      <w:r>
        <w:t>PROJECT_ROOT is derived from where the manager itself sits, so a correctly placed manager makes every worker beneath it correct. That is REQ-B-009 working: mirror the layout and the resolution is free.</w:t>
      </w:r>
    </w:p>
    <w:p>
      <w:pPr>
        <w:pStyle w:val="Heading1"/>
      </w:pPr>
      <w:r>
        <w:t>The deploy path, and the one code change it requires</w:t>
      </w:r>
    </w:p>
    <w:p>
      <w:r>
        <w:t>The source of an enforcement and the copy that runs are not required to be the same file. REQ-T-001 requires executable_path to be repo-relative; it does not require it to name the authored source. A deployed copy staged UNDER the project root satisfies both: the path stays repo-relative, the feature home stays projectRoot per REQ-B-009, and the run path stops being the file under edit.</w:t>
      </w:r>
    </w:p>
    <w:p>
      <w:r>
        <w:rPr>
          <w:rFonts w:ascii="Consolas" w:hAnsi="Consolas"/>
          <w:sz w:val="18"/>
        </w:rPr>
        <w:t xml:space="preserve">  authored     architecture/EngineeringRuleEnforcement/code/scan_files_enforcement_worker.py</w:t>
        <w:br/>
        <w:t xml:space="preserve">  deployed     deploy/devops/architecture/EngineeringRuleEnforcement/code/scan_files_enforcement_worker.py</w:t>
        <w:br/>
        <w:t xml:space="preserve">  registry     executable_path -&gt; the deployed path, still repo-relative</w:t>
      </w:r>
    </w:p>
    <w:p>
      <w:r>
        <w:t>This is the whole design. Deployment stages the target's files into deploy/devops/, mirroring the repository layout beneath it, and the registry points there.</w:t>
      </w:r>
    </w:p>
    <w:p>
      <w:r>
        <w:t>Mirroring the layout is not cosmetic. PROJECT_ROOT is computed as parents[3] from the manager file, so a manager deployed to deploy/devops/architecture/EngineeringRuleEnforcement/code/ yields PROJECT_ROOT = deploy/devops, and every worker beneath it resolves correctly with no change at all.</w:t>
      </w:r>
    </w:p>
    <w:p>
      <w:r>
        <w:t>That is also what breaks, and it is the code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Concern</w:t>
            </w:r>
          </w:p>
        </w:tc>
        <w:tc>
          <w:tcPr>
            <w:tcW w:type="dxa" w:w="2880"/>
          </w:tcPr>
          <w:p>
            <w:r>
              <w:rPr>
                <w:b/>
                <w:sz w:val="18"/>
              </w:rPr>
              <w:t>Resolves to</w:t>
            </w:r>
          </w:p>
        </w:tc>
        <w:tc>
          <w:tcPr>
            <w:tcW w:type="dxa" w:w="2880"/>
          </w:tcPr>
          <w:p>
            <w:r>
              <w:rPr>
                <w:b/>
                <w:sz w:val="18"/>
              </w:rPr>
              <w:t>Correct?</w:t>
            </w:r>
          </w:p>
        </w:tc>
      </w:tr>
      <w:tr>
        <w:tc>
          <w:tcPr>
            <w:tcW w:type="dxa" w:w="2880"/>
          </w:tcPr>
          <w:p>
            <w:r>
              <w:rPr>
                <w:sz w:val="18"/>
              </w:rPr>
              <w:t>Workers</w:t>
            </w:r>
          </w:p>
        </w:tc>
        <w:tc>
          <w:tcPr>
            <w:tcW w:type="dxa" w:w="2880"/>
          </w:tcPr>
          <w:p>
            <w:r>
              <w:rPr>
                <w:sz w:val="18"/>
              </w:rPr>
              <w:t>PROJECT_ROOT / executable_path -&gt; deploy/devops/...</w:t>
            </w:r>
          </w:p>
        </w:tc>
        <w:tc>
          <w:tcPr>
            <w:tcW w:type="dxa" w:w="2880"/>
          </w:tcPr>
          <w:p>
            <w:r>
              <w:rPr>
                <w:sz w:val="18"/>
              </w:rPr>
              <w:t>Yes</w:t>
            </w:r>
          </w:p>
        </w:tc>
      </w:tr>
      <w:tr>
        <w:tc>
          <w:tcPr>
            <w:tcW w:type="dxa" w:w="2880"/>
          </w:tcPr>
          <w:p>
            <w:r>
              <w:rPr>
                <w:sz w:val="18"/>
              </w:rPr>
              <w:t>engineering_rules.json</w:t>
            </w:r>
          </w:p>
        </w:tc>
        <w:tc>
          <w:tcPr>
            <w:tcW w:type="dxa" w:w="2880"/>
          </w:tcPr>
          <w:p>
            <w:r>
              <w:rPr>
                <w:sz w:val="18"/>
              </w:rPr>
              <w:t>PROJECT_ROOT / brain/machine_artifacts/content/... -&gt; deploy/devops/brain/...</w:t>
            </w:r>
          </w:p>
        </w:tc>
        <w:tc>
          <w:tcPr>
            <w:tcW w:type="dxa" w:w="2880"/>
          </w:tcPr>
          <w:p>
            <w:r>
              <w:rPr>
                <w:sz w:val="18"/>
              </w:rPr>
              <w:t>No</w:t>
            </w:r>
          </w:p>
        </w:tc>
      </w:tr>
    </w:tbl>
    <w:p>
      <w:r>
        <w:t>The manager reads the rules registry from the same PROJECT_ROOT it uses for workers. Deployed, that points at a brain directory inside the deploy tree, which is not where the brain lives. The two concerns are different and the manager currently conflates them.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Today</w:t>
            </w:r>
          </w:p>
        </w:tc>
        <w:tc>
          <w:tcPr>
            <w:tcW w:type="dxa" w:w="4320"/>
          </w:tcPr>
          <w:p>
            <w:r>
              <w:rPr>
                <w:b/>
                <w:sz w:val="18"/>
              </w:rPr>
              <w:t>Change required</w:t>
            </w:r>
          </w:p>
        </w:tc>
      </w:tr>
      <w:tr>
        <w:tc>
          <w:tcPr>
            <w:tcW w:type="dxa" w:w="4320"/>
          </w:tcPr>
          <w:p>
            <w:r>
              <w:rPr>
                <w:sz w:val="18"/>
              </w:rPr>
              <w:t>PROJECT_ROOT = Path(__file__).resolve().parents[3]</w:t>
              <w:br/>
              <w:t>ENGINEERING_RULES_PATH = PROJECT_ROOT / brain/...</w:t>
            </w:r>
          </w:p>
        </w:tc>
        <w:tc>
          <w:tcPr>
            <w:tcW w:type="dxa" w:w="4320"/>
          </w:tcPr>
          <w:p>
            <w:r>
              <w:rPr>
                <w:sz w:val="18"/>
              </w:rPr>
              <w:t>DEPLOY_ROOT = Path(__file__).resolve().parents[3]   (where workers live)</w:t>
              <w:br/>
              <w:t>PROJECT_ROOT = Path(os.environ['CHATHEALTHY_PROJECT_ROOT'])   (where the brain lives)</w:t>
            </w:r>
          </w:p>
        </w:tc>
      </w:tr>
    </w:tbl>
    <w:p>
      <w:r>
        <w:t>Workers resolve against DEPLOY_ROOT, inferred from the manager's own location as now. The rules registry resolves against PROJECT_ROOT, read from the environment as an explicit deployed fact rather than guessed. Undeployed, both are the repository and behaviour is identical, so the change is safe before the deploy path exists.</w:t>
      </w:r>
    </w:p>
    <w:p>
      <w:r>
        <w:t>A second benefit: reading the project root from the environment lets the manager fail loudly on a wrong root instead of quietly reporting missing executables, which is how a misplaced manager presents today.</w:t>
      </w:r>
    </w:p>
    <w:p>
      <w:pPr>
        <w:pStyle w:val="Heading1"/>
      </w:pPr>
      <w:r>
        <w:t>What deployment consists 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Step</w:t>
            </w:r>
          </w:p>
        </w:tc>
        <w:tc>
          <w:tcPr>
            <w:tcW w:type="dxa" w:w="2880"/>
          </w:tcPr>
          <w:p>
            <w:r>
              <w:rPr>
                <w:b/>
                <w:sz w:val="18"/>
              </w:rPr>
              <w:t>Note</w:t>
            </w:r>
          </w:p>
        </w:tc>
      </w:tr>
      <w:tr>
        <w:tc>
          <w:tcPr>
            <w:tcW w:type="dxa" w:w="2880"/>
          </w:tcPr>
          <w:p>
            <w:r>
              <w:rPr>
                <w:sz w:val="18"/>
              </w:rPr>
              <w:t>1</w:t>
            </w:r>
          </w:p>
        </w:tc>
        <w:tc>
          <w:tcPr>
            <w:tcW w:type="dxa" w:w="2880"/>
          </w:tcPr>
          <w:p>
            <w:r>
              <w:rPr>
                <w:sz w:val="18"/>
              </w:rPr>
              <w:t>Repository present on the host at the intended commit</w:t>
            </w:r>
          </w:p>
        </w:tc>
        <w:tc>
          <w:tcPr>
            <w:tcW w:type="dxa" w:w="2880"/>
          </w:tcPr>
          <w:p>
            <w:r>
              <w:rPr>
                <w:sz w:val="18"/>
              </w:rPr>
              <w:t>git is the version; there is no separate artefact</w:t>
            </w:r>
          </w:p>
        </w:tc>
      </w:tr>
      <w:tr>
        <w:tc>
          <w:tcPr>
            <w:tcW w:type="dxa" w:w="2880"/>
          </w:tcPr>
          <w:p>
            <w:r>
              <w:rPr>
                <w:sz w:val="18"/>
              </w:rPr>
              <w:t>2</w:t>
            </w:r>
          </w:p>
        </w:tc>
        <w:tc>
          <w:tcPr>
            <w:tcW w:type="dxa" w:w="2880"/>
          </w:tcPr>
          <w:p>
            <w:r>
              <w:rPr>
                <w:sz w:val="18"/>
              </w:rPr>
              <w:t>Register the hooks in .claude/settings.json</w:t>
            </w:r>
          </w:p>
        </w:tc>
        <w:tc>
          <w:tcPr>
            <w:tcW w:type="dxa" w:w="2880"/>
          </w:tcPr>
          <w:p>
            <w:r>
              <w:rPr>
                <w:sz w:val="18"/>
              </w:rPr>
              <w:t>Master only; workers come from the registry</w:t>
            </w:r>
          </w:p>
        </w:tc>
      </w:tr>
      <w:tr>
        <w:tc>
          <w:tcPr>
            <w:tcW w:type="dxa" w:w="2880"/>
          </w:tcPr>
          <w:p>
            <w:r>
              <w:rPr>
                <w:sz w:val="18"/>
              </w:rPr>
              <w:t>3</w:t>
            </w:r>
          </w:p>
        </w:tc>
        <w:tc>
          <w:tcPr>
            <w:tcW w:type="dxa" w:w="2880"/>
          </w:tcPr>
          <w:p>
            <w:r>
              <w:rPr>
                <w:sz w:val="18"/>
              </w:rPr>
              <w:t>Install the ChatHealthyLogService Windows service</w:t>
            </w:r>
          </w:p>
        </w:tc>
        <w:tc>
          <w:tcPr>
            <w:tcW w:type="dxa" w:w="2880"/>
          </w:tcPr>
          <w:p>
            <w:r>
              <w:rPr>
                <w:sz w:val="18"/>
              </w:rPr>
              <w:t>The one genuinely compiled artefact</w:t>
            </w:r>
          </w:p>
        </w:tc>
      </w:tr>
      <w:tr>
        <w:tc>
          <w:tcPr>
            <w:tcW w:type="dxa" w:w="2880"/>
          </w:tcPr>
          <w:p>
            <w:r>
              <w:rPr>
                <w:sz w:val="18"/>
              </w:rPr>
              <w:t>4</w:t>
            </w:r>
          </w:p>
        </w:tc>
        <w:tc>
          <w:tcPr>
            <w:tcW w:type="dxa" w:w="2880"/>
          </w:tcPr>
          <w:p>
            <w:r>
              <w:rPr>
                <w:sz w:val="18"/>
              </w:rPr>
              <w:t>Publish the service binary to build/publish/</w:t>
            </w:r>
          </w:p>
        </w:tc>
        <w:tc>
          <w:tcPr>
            <w:tcW w:type="dxa" w:w="2880"/>
          </w:tcPr>
          <w:p>
            <w:r>
              <w:rPr>
                <w:sz w:val="18"/>
              </w:rPr>
              <w:t>dotnet build does NOT update what the service runs</w:t>
            </w:r>
          </w:p>
        </w:tc>
      </w:tr>
      <w:tr>
        <w:tc>
          <w:tcPr>
            <w:tcW w:type="dxa" w:w="2880"/>
          </w:tcPr>
          <w:p>
            <w:r>
              <w:rPr>
                <w:sz w:val="18"/>
              </w:rPr>
              <w:t>5</w:t>
            </w:r>
          </w:p>
        </w:tc>
        <w:tc>
          <w:tcPr>
            <w:tcW w:type="dxa" w:w="2880"/>
          </w:tcPr>
          <w:p>
            <w:r>
              <w:rPr>
                <w:sz w:val="18"/>
              </w:rPr>
              <w:t>Ensure the declared environment variables are present</w:t>
            </w:r>
          </w:p>
        </w:tc>
        <w:tc>
          <w:tcPr>
            <w:tcW w:type="dxa" w:w="2880"/>
          </w:tcPr>
          <w:p>
            <w:r>
              <w:rPr>
                <w:sz w:val="18"/>
              </w:rPr>
              <w:t>See target_host_local_devops</w:t>
            </w:r>
          </w:p>
        </w:tc>
      </w:tr>
      <w:tr>
        <w:tc>
          <w:tcPr>
            <w:tcW w:type="dxa" w:w="2880"/>
          </w:tcPr>
          <w:p>
            <w:r>
              <w:rPr>
                <w:sz w:val="18"/>
              </w:rPr>
              <w:t>6</w:t>
            </w:r>
          </w:p>
        </w:tc>
        <w:tc>
          <w:tcPr>
            <w:tcW w:type="dxa" w:w="2880"/>
          </w:tcPr>
          <w:p>
            <w:r>
              <w:rPr>
                <w:sz w:val="18"/>
              </w:rPr>
              <w:t>Fire one hook of each kind and confirm it ran</w:t>
            </w:r>
          </w:p>
        </w:tc>
        <w:tc>
          <w:tcPr>
            <w:tcW w:type="dxa" w:w="2880"/>
          </w:tcPr>
          <w:p>
            <w:r>
              <w:rPr>
                <w:sz w:val="18"/>
              </w:rPr>
              <w:t>Proof, not assumption</w:t>
            </w:r>
          </w:p>
        </w:tc>
      </w:tr>
    </w:tbl>
    <w:p>
      <w:r>
        <w:t>Only steps 3 and 4 resemble conventional deployment, and only because the supervisor is .NET. Everything Python is deployed by being in the repository, which is the point.</w:t>
      </w:r>
    </w:p>
    <w:p>
      <w:r>
        <w:t>Step 4 is worth stating because it cost time on 2026-08-08: the service runs build/publish/ChatHealthyLogService.exe and dotnet build writes bin/. Building repeatedly and reporting success changed nothing the service executed.</w:t>
      </w:r>
    </w:p>
    <w:p>
      <w:pPr>
        <w:pStyle w:val="Heading1"/>
      </w:pPr>
      <w:r>
        <w:t>The target</w:t>
      </w:r>
    </w:p>
    <w:p>
      <w:r>
        <w:t>target_host_local_devops declares the surface: 20 files and 7 environment variables. The file list is generated from the rules registry rather than typed, so it cannot drift from what the manager actually dispatches.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Group</w:t>
            </w:r>
          </w:p>
        </w:tc>
        <w:tc>
          <w:tcPr>
            <w:tcW w:type="dxa" w:w="2880"/>
          </w:tcPr>
          <w:p>
            <w:r>
              <w:rPr>
                <w:b/>
                <w:sz w:val="18"/>
              </w:rPr>
              <w:t>Count</w:t>
            </w:r>
          </w:p>
        </w:tc>
        <w:tc>
          <w:tcPr>
            <w:tcW w:type="dxa" w:w="2880"/>
          </w:tcPr>
          <w:p>
            <w:r>
              <w:rPr>
                <w:b/>
                <w:sz w:val="18"/>
              </w:rPr>
              <w:t>Contents</w:t>
            </w:r>
          </w:p>
        </w:tc>
      </w:tr>
      <w:tr>
        <w:tc>
          <w:tcPr>
            <w:tcW w:type="dxa" w:w="2880"/>
          </w:tcPr>
          <w:p>
            <w:r>
              <w:rPr>
                <w:sz w:val="18"/>
              </w:rPr>
              <w:t>Master and probes</w:t>
            </w:r>
          </w:p>
        </w:tc>
        <w:tc>
          <w:tcPr>
            <w:tcW w:type="dxa" w:w="2880"/>
          </w:tcPr>
          <w:p>
            <w:r>
              <w:rPr>
                <w:sz w:val="18"/>
              </w:rPr>
              <w:t>3</w:t>
            </w:r>
          </w:p>
        </w:tc>
        <w:tc>
          <w:tcPr>
            <w:tcW w:type="dxa" w:w="2880"/>
          </w:tcPr>
          <w:p>
            <w:r>
              <w:rPr>
                <w:sz w:val="18"/>
              </w:rPr>
              <w:t>enforcement manager, boot_probe, capture_brain_hashes</w:t>
            </w:r>
          </w:p>
        </w:tc>
      </w:tr>
      <w:tr>
        <w:tc>
          <w:tcPr>
            <w:tcW w:type="dxa" w:w="2880"/>
          </w:tcPr>
          <w:p>
            <w:r>
              <w:rPr>
                <w:sz w:val="18"/>
              </w:rPr>
              <w:t>Enforcement workers</w:t>
            </w:r>
          </w:p>
        </w:tc>
        <w:tc>
          <w:tcPr>
            <w:tcW w:type="dxa" w:w="2880"/>
          </w:tcPr>
          <w:p>
            <w:r>
              <w:rPr>
                <w:sz w:val="18"/>
              </w:rPr>
              <w:t>11</w:t>
            </w:r>
          </w:p>
        </w:tc>
        <w:tc>
          <w:tcPr>
            <w:tcW w:type="dxa" w:w="2880"/>
          </w:tcPr>
          <w:p>
            <w:r>
              <w:rPr>
                <w:sz w:val="18"/>
              </w:rPr>
              <w:t>every distinct executable_path in the registry</w:t>
            </w:r>
          </w:p>
        </w:tc>
      </w:tr>
      <w:tr>
        <w:tc>
          <w:tcPr>
            <w:tcW w:type="dxa" w:w="2880"/>
          </w:tcPr>
          <w:p>
            <w:r>
              <w:rPr>
                <w:sz w:val="18"/>
              </w:rPr>
              <w:t>Conversation-log runtime</w:t>
            </w:r>
          </w:p>
        </w:tc>
        <w:tc>
          <w:tcPr>
            <w:tcW w:type="dxa" w:w="2880"/>
          </w:tcPr>
          <w:p>
            <w:r>
              <w:rPr>
                <w:sz w:val="18"/>
              </w:rPr>
              <w:t>6</w:t>
            </w:r>
          </w:p>
        </w:tc>
        <w:tc>
          <w:tcPr>
            <w:tcW w:type="dxa" w:w="2880"/>
          </w:tcPr>
          <w:p>
            <w:r>
              <w:rPr>
                <w:sz w:val="18"/>
              </w:rPr>
              <w:t>drain, record, sweep, alarm, Worker.cs, csproj</w:t>
            </w:r>
          </w:p>
        </w:tc>
      </w:tr>
    </w:tbl>
    <w:p>
      <w:r>
        <w:t>Declaring the surface is not the same as relocating it. Every source_location stays repo-relative, consistent with REQ-T-001.</w:t>
      </w:r>
    </w:p>
    <w:p>
      <w:pPr>
        <w:pStyle w:val="Heading1"/>
      </w:pPr>
      <w:r>
        <w:t>Versioning and rollback</w:t>
      </w:r>
    </w:p>
    <w:p>
      <w:r>
        <w:t>The version of a deployment is the commit. Rollback is checking out the previous commit. No enforcement holds state between invocations, so there is nothing to unwind.</w:t>
      </w:r>
    </w:p>
    <w:p>
      <w:r>
        <w:t>There is one sharp edge, and it is specific to this feature: the pre-commit gates are the enforcements. Deploy a broken worker and every commit is blocked, including the commit that would fix it. Git-based rollback assumes you can commit.</w:t>
      </w:r>
    </w:p>
    <w:p>
      <w:r>
        <w:t>The escape is the property that looks like a weakness elsewhere. Because workers run directly from the working tree, repairing one takes effect immediately, with no commit and no deploy. Live-from-tree is what makes a broken gate recoverable: the same immediacy that let a half-written edit take utterance capture down on 2026-08-08 is what lets it be fixed in the next keystroke.</w:t>
      </w:r>
    </w:p>
    <w:p>
      <w:r>
        <w:t>That is worth being explicit about, because the instinct is to remove the immediacy. Removing it would require a rollback path that does not depend on committing, and none exists today.</w:t>
      </w:r>
    </w:p>
    <w:p>
      <w:pPr>
        <w:pStyle w:val="Heading1"/>
      </w:pPr>
      <w:r>
        <w:t>Risks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Risk</w:t>
            </w:r>
          </w:p>
        </w:tc>
        <w:tc>
          <w:tcPr>
            <w:tcW w:type="dxa" w:w="2880"/>
          </w:tcPr>
          <w:p>
            <w:r>
              <w:rPr>
                <w:b/>
                <w:sz w:val="18"/>
              </w:rPr>
              <w:t>Consequence</w:t>
            </w:r>
          </w:p>
        </w:tc>
        <w:tc>
          <w:tcPr>
            <w:tcW w:type="dxa" w:w="2880"/>
          </w:tcPr>
          <w:p>
            <w:r>
              <w:rPr>
                <w:b/>
                <w:sz w:val="18"/>
              </w:rPr>
              <w:t>Handling</w:t>
            </w:r>
          </w:p>
        </w:tc>
      </w:tr>
      <w:tr>
        <w:tc>
          <w:tcPr>
            <w:tcW w:type="dxa" w:w="2880"/>
          </w:tcPr>
          <w:p>
            <w:r>
              <w:rPr>
                <w:sz w:val="18"/>
              </w:rPr>
              <w:t>Broken worker in the tree</w:t>
            </w:r>
          </w:p>
        </w:tc>
        <w:tc>
          <w:tcPr>
            <w:tcW w:type="dxa" w:w="2880"/>
          </w:tcPr>
          <w:p>
            <w:r>
              <w:rPr>
                <w:sz w:val="18"/>
              </w:rPr>
              <w:t>All commits blocked</w:t>
            </w:r>
          </w:p>
        </w:tc>
        <w:tc>
          <w:tcPr>
            <w:tcW w:type="dxa" w:w="2880"/>
          </w:tcPr>
          <w:p>
            <w:r>
              <w:rPr>
                <w:sz w:val="18"/>
              </w:rPr>
              <w:t>Repair in place; takes effect immediately</w:t>
            </w:r>
          </w:p>
        </w:tc>
      </w:tr>
      <w:tr>
        <w:tc>
          <w:tcPr>
            <w:tcW w:type="dxa" w:w="2880"/>
          </w:tcPr>
          <w:p>
            <w:r>
              <w:rPr>
                <w:sz w:val="18"/>
              </w:rPr>
              <w:t>Partial edit saved mid-write</w:t>
            </w:r>
          </w:p>
        </w:tc>
        <w:tc>
          <w:tcPr>
            <w:tcW w:type="dxa" w:w="2880"/>
          </w:tcPr>
          <w:p>
            <w:r>
              <w:rPr>
                <w:sz w:val="18"/>
              </w:rPr>
              <w:t>Capture or a gate fails silently</w:t>
            </w:r>
          </w:p>
        </w:tc>
        <w:tc>
          <w:tcPr>
            <w:tcW w:type="dxa" w:w="2880"/>
          </w:tcPr>
          <w:p>
            <w:r>
              <w:rPr>
                <w:sz w:val="18"/>
              </w:rPr>
              <w:t>Observed 2026-08-08; the drain now logs every pass</w:t>
            </w:r>
          </w:p>
        </w:tc>
      </w:tr>
      <w:tr>
        <w:tc>
          <w:tcPr>
            <w:tcW w:type="dxa" w:w="2880"/>
          </w:tcPr>
          <w:p>
            <w:r>
              <w:rPr>
                <w:sz w:val="18"/>
              </w:rPr>
              <w:t>dotnet build mistaken for deploy</w:t>
            </w:r>
          </w:p>
        </w:tc>
        <w:tc>
          <w:tcPr>
            <w:tcW w:type="dxa" w:w="2880"/>
          </w:tcPr>
          <w:p>
            <w:r>
              <w:rPr>
                <w:sz w:val="18"/>
              </w:rPr>
              <w:t>Service keeps running old code</w:t>
            </w:r>
          </w:p>
        </w:tc>
        <w:tc>
          <w:tcPr>
            <w:tcW w:type="dxa" w:w="2880"/>
          </w:tcPr>
          <w:p>
            <w:r>
              <w:rPr>
                <w:sz w:val="18"/>
              </w:rPr>
              <w:t>Publish to build/publish/; step 4</w:t>
            </w:r>
          </w:p>
        </w:tc>
      </w:tr>
      <w:tr>
        <w:tc>
          <w:tcPr>
            <w:tcW w:type="dxa" w:w="2880"/>
          </w:tcPr>
          <w:p>
            <w:r>
              <w:rPr>
                <w:sz w:val="18"/>
              </w:rPr>
              <w:t>PROJECT_ROOT inferred, not declared</w:t>
            </w:r>
          </w:p>
        </w:tc>
        <w:tc>
          <w:tcPr>
            <w:tcW w:type="dxa" w:w="2880"/>
          </w:tcPr>
          <w:p>
            <w:r>
              <w:rPr>
                <w:sz w:val="18"/>
              </w:rPr>
              <w:t>Wrong root reported as missing executables</w:t>
            </w:r>
          </w:p>
        </w:tc>
        <w:tc>
          <w:tcPr>
            <w:tcW w:type="dxa" w:w="2880"/>
          </w:tcPr>
          <w:p>
            <w:r>
              <w:rPr>
                <w:sz w:val="18"/>
              </w:rPr>
              <w:t>Read from the environment; see the code change section</w:t>
            </w:r>
          </w:p>
        </w:tc>
      </w:tr>
      <w:tr>
        <w:tc>
          <w:tcPr>
            <w:tcW w:type="dxa" w:w="2880"/>
          </w:tcPr>
          <w:p>
            <w:r>
              <w:rPr>
                <w:sz w:val="18"/>
              </w:rPr>
              <w:t>Environment variable undeclared</w:t>
            </w:r>
          </w:p>
        </w:tc>
        <w:tc>
          <w:tcPr>
            <w:tcW w:type="dxa" w:w="2880"/>
          </w:tcPr>
          <w:p>
            <w:r>
              <w:rPr>
                <w:sz w:val="18"/>
              </w:rPr>
              <w:t>Component fails at startup</w:t>
            </w:r>
          </w:p>
        </w:tc>
        <w:tc>
          <w:tcPr>
            <w:tcW w:type="dxa" w:w="2880"/>
          </w:tcPr>
          <w:p>
            <w:r>
              <w:rPr>
                <w:sz w:val="18"/>
              </w:rPr>
              <w:t>CH_LOG_DB was exactly this on 2026-08-08</w:t>
            </w:r>
          </w:p>
        </w:tc>
      </w:tr>
    </w:tbl>
    <w:p>
      <w:pPr>
        <w:pStyle w:val="Heading1"/>
      </w:pPr>
      <w:r>
        <w:t>Out of scope</w:t>
      </w:r>
    </w:p>
    <w:p>
      <w:r>
        <w:t>One workstation. The registry carries a single path per enforcement, so a second host or a CI agent would need per-host paths, which do not exist today.</w:t>
      </w:r>
    </w:p>
    <w:p>
      <w:r>
        <w:t>Rule-006 remains disabled (BUG-002). This design deploys the enforcements that exist and does not restore it.</w:t>
      </w:r>
    </w:p>
    <w:p>
      <w:pPr>
        <w:pStyle w:val="Heading1"/>
      </w:pPr>
      <w:r>
        <w:t>Change from V1</w:t>
      </w:r>
    </w:p>
    <w:p>
      <w:r>
        <w:t>V1 proposed staging the enforcements into a versioned directory outside the repository with a junction switch. That contradicted all five requirements in the first section. It was written from a real concern, an edit going live mid-save, but a real concern does not authorise a design that contradicts approved requirements. If the immediacy is to be removed, that is a requirements change to propose first, and it must bring a rollback path that does not depend on committing.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