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ChatHealthy.ai — Identity, Least Privilege and Connection Design</w:t>
      </w:r>
    </w:p>
    <w:p>
      <w:pPr>
        <w:jc w:val="left"/>
      </w:pPr>
      <w:r>
        <w:rPr>
          <w:b w:val="0"/>
          <w:i w:val="0"/>
        </w:rPr>
        <w:t>Version 1 — 2026-08-06 — status: DRAFT, awaiting operator approval</w:t>
      </w:r>
    </w:p>
    <w:p>
      <w:pPr>
        <w:pStyle w:val="Heading1"/>
      </w:pPr>
      <w:r>
        <w:t>1. Purpose and threat model</w:t>
      </w:r>
    </w:p>
    <w:p>
      <w:r>
        <w:rPr>
          <w:b w:val="0"/>
          <w:i w:val="0"/>
        </w:rPr>
        <w:t>This document specifies how ChatHealthy.ai identities are defined, how they are granted rights, how application code obtains a database connection, and how any of it is proven.</w:t>
      </w:r>
    </w:p>
    <w:p>
      <w:r>
        <w:rPr>
          <w:b/>
          <w:i w:val="0"/>
        </w:rPr>
        <w:t>The governing assumption, set by the operator on 2026-08-06:</w:t>
      </w:r>
    </w:p>
    <w:p>
      <w:r>
        <w:rPr>
          <w:b w:val="0"/>
          <w:i/>
        </w:rPr>
        <w:t>Claude is to be regarded as a hostile player. It will use whatever capability it holds to take a shortcut and declare victory. Assurances about its future behaviour carry no weight, because the failure mode is confident and well-reasoned rather than reluctant.</w:t>
      </w:r>
    </w:p>
    <w:p>
      <w:r>
        <w:rPr>
          <w:b w:val="0"/>
          <w:i w:val="0"/>
        </w:rPr>
        <w:t>Two consequences follow, and they shape every decision below.</w:t>
      </w:r>
    </w:p>
    <w:p>
      <w:pPr>
        <w:pStyle w:val="ListBullet"/>
      </w:pPr>
      <w:r>
        <w:t>A control the actor can edit, disable or route around is not a control. Repo-side rules, hooks and pre-commit gates are convenience. Platform-side controls — Azure RBAC, Key Vault ACLs, Atlas grants, NTFS permissions — are the perimeter.</w:t>
      </w:r>
    </w:p>
    <w:p>
      <w:pPr>
        <w:pStyle w:val="ListBullet"/>
      </w:pPr>
      <w:r>
        <w:t>The actor's own reports are not evidence. Acceptance is expressed as platform configuration the operator can export and platform logs the operator can read. Application logs and passing tests are not proof; they are how the evidence is provoked.</w:t>
      </w:r>
    </w:p>
    <w:p>
      <w:pPr>
        <w:pStyle w:val="Heading1"/>
      </w:pPr>
      <w:r>
        <w:t>2. Prerequisite zero — the standing Owner credential</w:t>
      </w:r>
    </w:p>
    <w:p>
      <w:r>
        <w:rPr>
          <w:b w:val="0"/>
          <w:i w:val="0"/>
        </w:rPr>
        <w:t>VERIFIED 2026-08-06. The service principal in the repo-root .env, which every local script picks up through DefaultAzureCredential, holds:</w:t>
      </w:r>
    </w:p>
    <w:tbl>
      <w:tblPr>
        <w:tblStyle w:val="TableGrid"/>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Scope</w:t>
            </w:r>
          </w:p>
        </w:tc>
      </w:tr>
      <w:tr>
        <w:tc>
          <w:tcPr>
            <w:tcW w:type="dxa" w:w="4320"/>
          </w:tcPr>
          <w:p>
            <w:r>
              <w:t>Owner</w:t>
            </w:r>
          </w:p>
        </w:tc>
        <w:tc>
          <w:tcPr>
            <w:tcW w:type="dxa" w:w="4320"/>
          </w:tcPr>
          <w:p>
            <w:r>
              <w:t>/subscriptions/7a17eec1-c477-4c7c-b1c1-d0662ce7a1ee (PipeLineServices)</w:t>
            </w:r>
          </w:p>
        </w:tc>
      </w:tr>
      <w:tr>
        <w:tc>
          <w:tcPr>
            <w:tcW w:type="dxa" w:w="4320"/>
          </w:tcPr>
          <w:p>
            <w:r>
              <w:t>Key Vault Administrator</w:t>
            </w:r>
          </w:p>
        </w:tc>
        <w:tc>
          <w:tcPr>
            <w:tcW w:type="dxa" w:w="4320"/>
          </w:tcPr>
          <w:p>
            <w:r>
              <w:t>.../resourceGroups/rg-chathealthy-pipeline-dev/providers/Microsoft.KeyVault/vaults/kv-chpipeline-dev</w:t>
            </w:r>
          </w:p>
        </w:tc>
      </w:tr>
    </w:tbl>
    <w:p/>
    <w:p>
      <w:r>
        <w:rPr>
          <w:b w:val="0"/>
          <w:i w:val="0"/>
        </w:rPr>
        <w:t>Principal: 7c7bf6ac-b8b2-448e-b9af-b09934c10382.</w:t>
      </w:r>
    </w:p>
    <w:p>
      <w:r>
        <w:rPr>
          <w:b/>
          <w:i w:val="0"/>
        </w:rPr>
        <w:t>Nothing in this document is real until that is reduced.</w:t>
      </w:r>
    </w:p>
    <w:p>
      <w:pPr>
        <w:pStyle w:val="ListBullet"/>
      </w:pPr>
      <w:r>
        <w:t>Key Vault Administrator reads and writes every secret in the vault, so per-secret scoping cannot constrain anything while it is held.</w:t>
      </w:r>
    </w:p>
    <w:p>
      <w:pPr>
        <w:pStyle w:val="ListBullet"/>
      </w:pPr>
      <w:r>
        <w:t>Owner includes write access to role assignments, so the actor can grant itself any right in the subscription and can undo every control specified here.</w:t>
      </w:r>
    </w:p>
    <w:p>
      <w:pPr>
        <w:pStyle w:val="ListBullet"/>
      </w:pPr>
      <w:r>
        <w:t>The reduction must be performed by the operator from an account Claude does not hold. A principal with Owner can restore its own rights; if Claude performs the demotion it is a setting Claude chose to honour, not a control.</w:t>
      </w:r>
    </w:p>
    <w:p>
      <w:pPr>
        <w:pStyle w:val="Heading1"/>
      </w:pPr>
      <w:r>
        <w:t>3. Identities</w:t>
      </w:r>
    </w:p>
    <w:p>
      <w:r>
        <w:rPr>
          <w:b w:val="0"/>
          <w:i w:val="0"/>
        </w:rPr>
        <w:t>Identity is a FUNCTION, never a component and never a location. A component does not own an identity; it runs under the identity matching the work it is doing. A component performing two functions holds two connections rather than a merged identity.</w:t>
      </w:r>
    </w:p>
    <w:tbl>
      <w:tblPr>
        <w:tblStyle w:val="TableGrid"/>
        <w:tblW w:type="auto" w:w="0"/>
        <w:tblLook w:firstColumn="1" w:firstRow="1" w:lastColumn="0" w:lastRow="0" w:noHBand="0" w:noVBand="1" w:val="04A0"/>
      </w:tblPr>
      <w:tblGrid>
        <w:gridCol w:w="4320"/>
        <w:gridCol w:w="4320"/>
      </w:tblGrid>
      <w:tr>
        <w:tc>
          <w:tcPr>
            <w:tcW w:type="dxa" w:w="4320"/>
          </w:tcPr>
          <w:p>
            <w:r/>
            <w:r>
              <w:rPr>
                <w:b/>
              </w:rPr>
              <w:t>Identity</w:t>
            </w:r>
          </w:p>
        </w:tc>
        <w:tc>
          <w:tcPr>
            <w:tcW w:type="dxa" w:w="4320"/>
          </w:tcPr>
          <w:p>
            <w:r/>
            <w:r>
              <w:rPr>
                <w:b/>
              </w:rPr>
              <w:t>Function</w:t>
            </w:r>
          </w:p>
        </w:tc>
      </w:tr>
      <w:tr>
        <w:tc>
          <w:tcPr>
            <w:tcW w:type="dxa" w:w="4320"/>
          </w:tcPr>
          <w:p>
            <w:r>
              <w:t>frontendUser</w:t>
            </w:r>
          </w:p>
        </w:tc>
        <w:tc>
          <w:tcPr>
            <w:tcW w:type="dxa" w:w="4320"/>
          </w:tcPr>
          <w:p>
            <w:r>
              <w:t>Serving users. Every user-facing component runs as this.</w:t>
            </w:r>
          </w:p>
        </w:tc>
      </w:tr>
      <w:tr>
        <w:tc>
          <w:tcPr>
            <w:tcW w:type="dxa" w:w="4320"/>
          </w:tcPr>
          <w:p>
            <w:r>
              <w:t>pipelineEditor</w:t>
            </w:r>
          </w:p>
        </w:tc>
        <w:tc>
          <w:tcPr>
            <w:tcW w:type="dxa" w:w="4320"/>
          </w:tcPr>
          <w:p>
            <w:r>
              <w:t>Pipeline work. Every worker, runbook and step.</w:t>
            </w:r>
          </w:p>
        </w:tc>
      </w:tr>
      <w:tr>
        <w:tc>
          <w:tcPr>
            <w:tcW w:type="dxa" w:w="4320"/>
          </w:tcPr>
          <w:p>
            <w:r>
              <w:t>dataTransferAgent</w:t>
            </w:r>
          </w:p>
        </w:tc>
        <w:tc>
          <w:tcPr>
            <w:tcW w:type="dxa" w:w="4320"/>
          </w:tcPr>
          <w:p>
            <w:r>
              <w:t>The crossing function. Only the transfer job.</w:t>
            </w:r>
          </w:p>
        </w:tc>
      </w:tr>
    </w:tbl>
    <w:p/>
    <w:p>
      <w:pPr>
        <w:pStyle w:val="Heading1"/>
      </w:pPr>
      <w:r>
        <w:t>4. Logical targets and database placement</w:t>
      </w:r>
    </w:p>
    <w:p>
      <w:r>
        <w:rPr>
          <w:b w:val="0"/>
          <w:i w:val="0"/>
        </w:rPr>
        <w:t>A target names a purpose, not a server. The pipeline data factory is down by design most of the day — that is a cost decision — so anything that must answer 24x7 belongs to admin, never to pipelines.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Logical target</w:t>
            </w:r>
          </w:p>
        </w:tc>
        <w:tc>
          <w:tcPr>
            <w:tcW w:type="dxa" w:w="2880"/>
          </w:tcPr>
          <w:p>
            <w:r/>
            <w:r>
              <w:rPr>
                <w:b/>
              </w:rPr>
              <w:t>Databases</w:t>
            </w:r>
          </w:p>
        </w:tc>
        <w:tc>
          <w:tcPr>
            <w:tcW w:type="dxa" w:w="2880"/>
          </w:tcPr>
          <w:p>
            <w:r/>
            <w:r>
              <w:rPr>
                <w:b/>
              </w:rPr>
              <w:t>Availability</w:t>
            </w:r>
          </w:p>
        </w:tc>
      </w:tr>
      <w:tr>
        <w:tc>
          <w:tcPr>
            <w:tcW w:type="dxa" w:w="2880"/>
          </w:tcPr>
          <w:p>
            <w:r>
              <w:t>frontEnd</w:t>
            </w:r>
          </w:p>
        </w:tc>
        <w:tc>
          <w:tcPr>
            <w:tcW w:type="dxa" w:w="2880"/>
          </w:tcPr>
          <w:p>
            <w:r>
              <w:t>PublicHealthData, Users</w:t>
            </w:r>
          </w:p>
        </w:tc>
        <w:tc>
          <w:tcPr>
            <w:tcW w:type="dxa" w:w="2880"/>
          </w:tcPr>
          <w:p>
            <w:r>
              <w:t>24x7</w:t>
            </w:r>
          </w:p>
        </w:tc>
      </w:tr>
      <w:tr>
        <w:tc>
          <w:tcPr>
            <w:tcW w:type="dxa" w:w="2880"/>
          </w:tcPr>
          <w:p>
            <w:r>
              <w:t>admin</w:t>
            </w:r>
          </w:p>
        </w:tc>
        <w:tc>
          <w:tcPr>
            <w:tcW w:type="dxa" w:w="2880"/>
          </w:tcPr>
          <w:p>
            <w:r>
              <w:t>ChatHealthyConfig, ClaudeCodeLog, Pipelines</w:t>
            </w:r>
          </w:p>
        </w:tc>
        <w:tc>
          <w:tcPr>
            <w:tcW w:type="dxa" w:w="2880"/>
          </w:tcPr>
          <w:p>
            <w:r>
              <w:t>24x7</w:t>
            </w:r>
          </w:p>
        </w:tc>
      </w:tr>
      <w:tr>
        <w:tc>
          <w:tcPr>
            <w:tcW w:type="dxa" w:w="2880"/>
          </w:tcPr>
          <w:p>
            <w:r>
              <w:t>pipelines</w:t>
            </w:r>
          </w:p>
        </w:tc>
        <w:tc>
          <w:tcPr>
            <w:tcW w:type="dxa" w:w="2880"/>
          </w:tcPr>
          <w:p>
            <w:r>
              <w:t>pipelinePublicHealthData</w:t>
            </w:r>
          </w:p>
        </w:tc>
        <w:tc>
          <w:tcPr>
            <w:tcW w:type="dxa" w:w="2880"/>
          </w:tcPr>
          <w:p>
            <w:r>
              <w:t>Down by design most of the day</w:t>
            </w:r>
          </w:p>
        </w:tc>
      </w:tr>
    </w:tbl>
    <w:p/>
    <w:p>
      <w:r>
        <w:rPr>
          <w:b w:val="0"/>
          <w:i w:val="0"/>
        </w:rPr>
        <w:t>Today all three targets resolve to one physical cluster. The separation is real in the entitlement model and notional in the wiring. Buying the pipeline or admin cluster changes one registry row and no code.</w:t>
      </w:r>
    </w:p>
    <w:p>
      <w:r>
        <w:rPr>
          <w:b w:val="0"/>
          <w:i w:val="0"/>
        </w:rPr>
        <w:t>Consequence worth stating: the fatal-error path depends on this placement. 'Pipeline cluster unreachable' is a condition the system must be able to REPORT. If the discrepancy report lived on the pipeline cluster that failure could never be recorded.</w:t>
      </w:r>
    </w:p>
    <w:p>
      <w:pPr>
        <w:pStyle w:val="Heading1"/>
      </w:pPr>
      <w:r>
        <w:t>5. Entitlements</w:t>
      </w:r>
    </w:p>
    <w:p>
      <w:r>
        <w:rPr>
          <w:b/>
          <w:i w:val="0"/>
        </w:rPr>
        <w:t>PublicHealthData is single-writer. The transfer agent is the only principal that may write it. This is the control that makes destruction of published data impossible rather than merely prohibited.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Identity</w:t>
            </w:r>
          </w:p>
        </w:tc>
        <w:tc>
          <w:tcPr>
            <w:tcW w:type="dxa" w:w="2160"/>
          </w:tcPr>
          <w:p>
            <w:r/>
            <w:r>
              <w:rPr>
                <w:b/>
              </w:rPr>
              <w:t>frontEnd</w:t>
            </w:r>
          </w:p>
        </w:tc>
        <w:tc>
          <w:tcPr>
            <w:tcW w:type="dxa" w:w="2160"/>
          </w:tcPr>
          <w:p>
            <w:r/>
            <w:r>
              <w:rPr>
                <w:b/>
              </w:rPr>
              <w:t>admin</w:t>
            </w:r>
          </w:p>
        </w:tc>
        <w:tc>
          <w:tcPr>
            <w:tcW w:type="dxa" w:w="2160"/>
          </w:tcPr>
          <w:p>
            <w:r/>
            <w:r>
              <w:rPr>
                <w:b/>
              </w:rPr>
              <w:t>pipelines</w:t>
            </w:r>
          </w:p>
        </w:tc>
      </w:tr>
      <w:tr>
        <w:tc>
          <w:tcPr>
            <w:tcW w:type="dxa" w:w="2160"/>
          </w:tcPr>
          <w:p>
            <w:r>
              <w:t>frontendUser</w:t>
            </w:r>
          </w:p>
        </w:tc>
        <w:tc>
          <w:tcPr>
            <w:tcW w:type="dxa" w:w="2160"/>
          </w:tcPr>
          <w:p>
            <w:r>
              <w:t>read PublicHealthData, Users</w:t>
            </w:r>
          </w:p>
        </w:tc>
        <w:tc>
          <w:tcPr>
            <w:tcW w:type="dxa" w:w="2160"/>
          </w:tcPr>
          <w:p>
            <w:r>
              <w:t>none</w:t>
            </w:r>
          </w:p>
        </w:tc>
        <w:tc>
          <w:tcPr>
            <w:tcW w:type="dxa" w:w="2160"/>
          </w:tcPr>
          <w:p>
            <w:r>
              <w:t>none</w:t>
            </w:r>
          </w:p>
        </w:tc>
      </w:tr>
      <w:tr>
        <w:tc>
          <w:tcPr>
            <w:tcW w:type="dxa" w:w="2160"/>
          </w:tcPr>
          <w:p>
            <w:r>
              <w:t>pipelineEditor</w:t>
            </w:r>
          </w:p>
        </w:tc>
        <w:tc>
          <w:tcPr>
            <w:tcW w:type="dxa" w:w="2160"/>
          </w:tcPr>
          <w:p>
            <w:r>
              <w:t>none</w:t>
            </w:r>
          </w:p>
        </w:tc>
        <w:tc>
          <w:tcPr>
            <w:tcW w:type="dxa" w:w="2160"/>
          </w:tcPr>
          <w:p>
            <w:r>
              <w:t>readWrite Pipelines only</w:t>
            </w:r>
          </w:p>
        </w:tc>
        <w:tc>
          <w:tcPr>
            <w:tcW w:type="dxa" w:w="2160"/>
          </w:tcPr>
          <w:p>
            <w:r>
              <w:t>readWrite pipelinePublicHealthData</w:t>
            </w:r>
          </w:p>
        </w:tc>
      </w:tr>
      <w:tr>
        <w:tc>
          <w:tcPr>
            <w:tcW w:type="dxa" w:w="2160"/>
          </w:tcPr>
          <w:p>
            <w:r>
              <w:t>dataTransferAgent</w:t>
            </w:r>
          </w:p>
        </w:tc>
        <w:tc>
          <w:tcPr>
            <w:tcW w:type="dxa" w:w="2160"/>
          </w:tcPr>
          <w:p>
            <w:r>
              <w:t>WRITE PublicHealthData (sole writer)</w:t>
            </w:r>
          </w:p>
        </w:tc>
        <w:tc>
          <w:tcPr>
            <w:tcW w:type="dxa" w:w="2160"/>
          </w:tcPr>
          <w:p>
            <w:r>
              <w:t>readWrite Pipelines</w:t>
            </w:r>
          </w:p>
        </w:tc>
        <w:tc>
          <w:tcPr>
            <w:tcW w:type="dxa" w:w="2160"/>
          </w:tcPr>
          <w:p>
            <w:r>
              <w:t>read pipelinePublicHealthData</w:t>
            </w:r>
          </w:p>
        </w:tc>
      </w:tr>
    </w:tbl>
    <w:p/>
    <w:p>
      <w:r>
        <w:rPr>
          <w:b w:val="0"/>
          <w:i w:val="0"/>
        </w:rPr>
        <w:t>No principal is a superset of the system. Revoking dataTransferAgent stops all crossing without touching anything else.</w:t>
      </w:r>
    </w:p>
    <w:p>
      <w:r>
        <w:rPr>
          <w:b w:val="0"/>
          <w:i w:val="0"/>
        </w:rPr>
        <w:t>Note: the certificate authenticates; it does not authorize. Least privilege lands only if the $external user behind each CN carries restricted roles in Atlas. A certificate whose CN maps to a user holding readWriteAnyDatabase reproduces the super-identity with better paperwork.</w:t>
      </w:r>
    </w:p>
    <w:p>
      <w:pPr>
        <w:pStyle w:val="Heading1"/>
      </w:pPr>
      <w:r>
        <w:t>6. Vault scoping</w:t>
      </w:r>
    </w:p>
    <w:p>
      <w:r>
        <w:rPr>
          <w:b w:val="0"/>
          <w:i w:val="0"/>
        </w:rPr>
        <w:t>VERIFIED: kv-chpipeline-dev has enableRbacAuthorization = true, so per-secret scoping is available and multiple vaults are NOT required.</w:t>
      </w:r>
    </w:p>
    <w:p>
      <w:r>
        <w:rPr>
          <w:b w:val="0"/>
          <w:i w:val="0"/>
        </w:rPr>
        <w:t>One principal, one secret, one assignment:</w:t>
      </w:r>
    </w:p>
    <w:p>
      <w:r>
        <w:rPr>
          <w:b w:val="0"/>
          <w:i w:val="0"/>
        </w:rPr>
        <w:t xml:space="preserve">  --role "Key Vault Secrets User"</w:t>
        <w:br/>
        <w:t xml:space="preserve">  --scope /subscriptions/&lt;sub&gt;/resourceGroups/rg-chathealthy-pipeline-dev/providers/Microsoft.KeyVault/vaults/kv-chpipeline-dev/secrets/key-pipelineEditor</w:t>
      </w:r>
    </w:p>
    <w:p>
      <w:r>
        <w:rPr>
          <w:b w:val="0"/>
          <w:i w:val="0"/>
        </w:rPr>
        <w:t>Each identity may read its own key material and is refused every other secret in the same vault. Reading another identity's key IS becoming that identity, so this is the line that matters.</w:t>
      </w:r>
    </w:p>
    <w:p>
      <w:r>
        <w:rPr>
          <w:b w:val="0"/>
          <w:i w:val="0"/>
        </w:rPr>
        <w:t>Also verified and outstanding on that vault:</w:t>
      </w:r>
    </w:p>
    <w:p>
      <w:pPr>
        <w:pStyle w:val="ListBullet"/>
      </w:pPr>
      <w:r>
        <w:t>purgeProtection is NOT enabled. Soft-delete is on, but a Key Vault Administrator can delete and then permanently purge, defeating the recovery window. Enabling purge protection is a one-line change and, once enabled, CANNOT BE DISABLED by anyone — a rare Azure control that survives the actor holding it. Recommended immediately.</w:t>
      </w:r>
    </w:p>
    <w:p>
      <w:pPr>
        <w:pStyle w:val="ListBullet"/>
      </w:pPr>
      <w:r>
        <w:t>publicNetworkAccess is Enabled. Acceptable while local and hosted callers both need it; belongs in a management-group policy once the network story is settled.</w:t>
      </w:r>
    </w:p>
    <w:p>
      <w:pPr>
        <w:pStyle w:val="Heading1"/>
      </w:pPr>
      <w:r>
        <w:t>7. Workstation separation — two Windows users</w:t>
      </w:r>
    </w:p>
    <w:p>
      <w:r>
        <w:rPr>
          <w:b/>
          <w:i w:val="0"/>
        </w:rPr>
        <w:t>OPERATOR DECISION, 2026-08-06.</w:t>
      </w:r>
    </w:p>
    <w:p>
      <w:r>
        <w:rPr>
          <w:b w:val="0"/>
          <w:i w:val="0"/>
        </w:rPr>
        <w:t>Claude legitimately requires universal access when acting as deployment manager, and must be constrained when acting as an engineer running tests. Both contexts are the same actor on the same workstation, so the separation must be enforced by the operating system, not by which credential the code chooses to read.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Context</w:t>
            </w:r>
          </w:p>
        </w:tc>
        <w:tc>
          <w:tcPr>
            <w:tcW w:type="dxa" w:w="2160"/>
          </w:tcPr>
          <w:p>
            <w:r/>
            <w:r>
              <w:rPr>
                <w:b/>
              </w:rPr>
              <w:t>Windows user</w:t>
            </w:r>
          </w:p>
        </w:tc>
        <w:tc>
          <w:tcPr>
            <w:tcW w:type="dxa" w:w="2160"/>
          </w:tcPr>
          <w:p>
            <w:r/>
            <w:r>
              <w:rPr>
                <w:b/>
              </w:rPr>
              <w:t>Project</w:t>
            </w:r>
          </w:p>
        </w:tc>
        <w:tc>
          <w:tcPr>
            <w:tcW w:type="dxa" w:w="2160"/>
          </w:tcPr>
          <w:p>
            <w:r/>
            <w:r>
              <w:rPr>
                <w:b/>
              </w:rPr>
              <w:t>Azure rights</w:t>
            </w:r>
          </w:p>
        </w:tc>
      </w:tr>
      <w:tr>
        <w:tc>
          <w:tcPr>
            <w:tcW w:type="dxa" w:w="2160"/>
          </w:tcPr>
          <w:p>
            <w:r>
              <w:t>Deployment manager</w:t>
            </w:r>
          </w:p>
        </w:tc>
        <w:tc>
          <w:tcPr>
            <w:tcW w:type="dxa" w:w="2160"/>
          </w:tcPr>
          <w:p>
            <w:r>
              <w:t>Deployment account</w:t>
            </w:r>
          </w:p>
        </w:tc>
        <w:tc>
          <w:tcPr>
            <w:tcW w:type="dxa" w:w="2160"/>
          </w:tcPr>
          <w:p>
            <w:r>
              <w:t>Deployment project</w:t>
            </w:r>
          </w:p>
        </w:tc>
        <w:tc>
          <w:tcPr>
            <w:tcW w:type="dxa" w:w="2160"/>
          </w:tcPr>
          <w:p>
            <w:r>
              <w:t>Universal</w:t>
            </w:r>
          </w:p>
        </w:tc>
      </w:tr>
      <w:tr>
        <w:tc>
          <w:tcPr>
            <w:tcW w:type="dxa" w:w="2160"/>
          </w:tcPr>
          <w:p>
            <w:r>
              <w:t>Engineering</w:t>
            </w:r>
          </w:p>
        </w:tc>
        <w:tc>
          <w:tcPr>
            <w:tcW w:type="dxa" w:w="2160"/>
          </w:tcPr>
          <w:p>
            <w:r>
              <w:t>Standard (NON-admin) account</w:t>
            </w:r>
          </w:p>
        </w:tc>
        <w:tc>
          <w:tcPr>
            <w:tcW w:type="dxa" w:w="2160"/>
          </w:tcPr>
          <w:p>
            <w:r>
              <w:t>Engineering project</w:t>
            </w:r>
          </w:p>
        </w:tc>
        <w:tc>
          <w:tcPr>
            <w:tcW w:type="dxa" w:w="2160"/>
          </w:tcPr>
          <w:p>
            <w:r>
              <w:t>Broad READ, narrow WRITE</w:t>
            </w:r>
          </w:p>
        </w:tc>
      </w:tr>
    </w:tbl>
    <w:p/>
    <w:p>
      <w:pPr>
        <w:pStyle w:val="ListBullet"/>
      </w:pPr>
      <w:r>
        <w:t>Neither user is granted rights to the other's file system. Separate projects, separate .env files, separate Azure CLI token caches (per-profile).</w:t>
      </w:r>
    </w:p>
    <w:p>
      <w:pPr>
        <w:pStyle w:val="ListBullet"/>
      </w:pPr>
      <w:r>
        <w:t>The engineering account MUST NOT be a local Administrator. An administrator can take ownership of the other profile's files and read them regardless of ACLs, which makes the boundary nominal.</w:t>
      </w:r>
    </w:p>
    <w:p>
      <w:pPr>
        <w:pStyle w:val="ListBullet"/>
      </w:pPr>
      <w:r>
        <w:t>The engineering context gets broad READ (Reader at subscription scope, which does not grant secret values) plus only the write rights the local test path needs. Observation is most of what a constrained context otherwise loses, and observation is not the failure mode being defended against.</w:t>
      </w:r>
    </w:p>
    <w:p>
      <w:r>
        <w:rPr>
          <w:b w:val="0"/>
          <w:i/>
        </w:rPr>
        <w:t>Residual risk this does NOT close: code provenance. Both projects share a git remote. Code authored in the engineering context reaches the deployment context through a commit and then executes with universal rights. The filesystem boundary prevents Claude HOLDING deployment rights; the commit-authorization gate is what stands between Claude and CAUSING them to be used. Those two together are the perimeter.</w:t>
      </w:r>
    </w:p>
    <w:p>
      <w:pPr>
        <w:pStyle w:val="Heading1"/>
      </w:pPr>
      <w:r>
        <w:t>8. getConnection(role, cluster)</w:t>
      </w:r>
    </w:p>
    <w:p>
      <w:r>
        <w:rPr>
          <w:b w:val="0"/>
          <w:i w:val="0"/>
        </w:rPr>
        <w:t>Current signature takes one argument, validates it, and then discards it: every caller receives an identical connection over MONGO_FRONTEND_connectionString regardless of the identity requested. cert_name is decorative. 28 call sites pass "pipelineEditor" and all 28 get the same principal.</w:t>
      </w:r>
    </w:p>
    <w:p>
      <w:r>
        <w:rPr>
          <w:b w:val="0"/>
          <w:i w:val="0"/>
        </w:rPr>
        <w:t>Required signature:</w:t>
      </w:r>
    </w:p>
    <w:p>
      <w:r>
        <w:rPr>
          <w:b/>
          <w:i w:val="0"/>
        </w:rPr>
        <w:t xml:space="preserve">  getConnection(role: str, cluster: str) -&gt; TimedClient</w:t>
      </w:r>
    </w:p>
    <w:p>
      <w:pPr>
        <w:pStyle w:val="ListBullet"/>
      </w:pPr>
      <w:r>
        <w:t>role selects the identity — vault secret and certificate CN.</w:t>
      </w:r>
    </w:p>
    <w:p>
      <w:pPr>
        <w:pStyle w:val="ListBullet"/>
      </w:pPr>
      <w:r>
        <w:t>cluster is a LOGICAL target: frontEnd, admin or pipelines.</w:t>
      </w:r>
    </w:p>
    <w:p>
      <w:pPr>
        <w:pStyle w:val="ListBullet"/>
      </w:pPr>
      <w:r>
        <w:t>A role deliberately spans clusters — pipelineEditor works on pipelines and writes metadata to admin — so role alone cannot disambiguate. Encoding the cluster into the identity name would make identity mean function plus location, which is rejected.</w:t>
      </w:r>
    </w:p>
    <w:p>
      <w:r>
        <w:rPr>
          <w:b w:val="0"/>
          <w:i w:val="0"/>
        </w:rPr>
        <w:t>CertificateRegistry is keyed on (role, cluster) and carries the URI. The credential column will often repeat: the same CN can be a user on both clusters with different grants.</w:t>
      </w:r>
    </w:p>
    <w:p>
      <w:r>
        <w:rPr>
          <w:b/>
          <w:i w:val="0"/>
        </w:rPr>
        <w:t>Introduce as a behavioural no-op: every logical target initially resolves to the URI in use today. Call sites then declare their real target — information the code has never carried. Changing where a target points becomes a separate, deliberate act performed alone, not tangled with call-site edits or an auth rewrite.</w:t>
      </w:r>
    </w:p>
    <w:p>
      <w:pPr>
        <w:pStyle w:val="Heading1"/>
      </w:pPr>
      <w:r>
        <w:t>9. Assurance — declared, not inferred</w:t>
      </w:r>
    </w:p>
    <w:p>
      <w:r>
        <w:rPr>
          <w:b w:val="0"/>
          <w:i w:val="0"/>
        </w:rPr>
        <w:t>The code must know, and prove, three things. All three are implicit today, which is why nothing catches a drift.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Property</w:t>
            </w:r>
          </w:p>
        </w:tc>
        <w:tc>
          <w:tcPr>
            <w:tcW w:type="dxa" w:w="2880"/>
          </w:tcPr>
          <w:p>
            <w:r/>
            <w:r>
              <w:rPr>
                <w:b/>
              </w:rPr>
              <w:t>Mechanism</w:t>
            </w:r>
          </w:p>
        </w:tc>
        <w:tc>
          <w:tcPr>
            <w:tcW w:type="dxa" w:w="2880"/>
          </w:tcPr>
          <w:p>
            <w:r/>
            <w:r>
              <w:rPr>
                <w:b/>
              </w:rPr>
              <w:t>Status today</w:t>
            </w:r>
          </w:p>
        </w:tc>
      </w:tr>
      <w:tr>
        <w:tc>
          <w:tcPr>
            <w:tcW w:type="dxa" w:w="2880"/>
          </w:tcPr>
          <w:p>
            <w:r>
              <w:t>Which Azure identity</w:t>
            </w:r>
          </w:p>
        </w:tc>
        <w:tc>
          <w:tcPr>
            <w:tcW w:type="dxa" w:w="2880"/>
          </w:tcPr>
          <w:p>
            <w:r>
              <w:t>Explicit ClientSecretCredential for a named client id; assert the appid/oid claim on the issued token</w:t>
            </w:r>
          </w:p>
        </w:tc>
        <w:tc>
          <w:tcPr>
            <w:tcW w:type="dxa" w:w="2880"/>
          </w:tcPr>
          <w:p>
            <w:r>
              <w:t>DefaultAzureCredential — becomes whatever credential the environment offers</w:t>
            </w:r>
          </w:p>
        </w:tc>
      </w:tr>
      <w:tr>
        <w:tc>
          <w:tcPr>
            <w:tcW w:type="dxa" w:w="2880"/>
          </w:tcPr>
          <w:p>
            <w:r>
              <w:t>Which cluster</w:t>
            </w:r>
          </w:p>
        </w:tc>
        <w:tc>
          <w:tcPr>
            <w:tcW w:type="dxa" w:w="2880"/>
          </w:tcPr>
          <w:p>
            <w:r>
              <w:t>After connect, assert driver-resolved host and replica set match the declared logical target</w:t>
            </w:r>
          </w:p>
        </w:tc>
        <w:tc>
          <w:tcPr>
            <w:tcW w:type="dxa" w:w="2880"/>
          </w:tcPr>
          <w:p>
            <w:r>
              <w:t>No check. A rewiring silently changed clusters.</w:t>
            </w:r>
          </w:p>
        </w:tc>
      </w:tr>
      <w:tr>
        <w:tc>
          <w:tcPr>
            <w:tcW w:type="dxa" w:w="2880"/>
          </w:tcPr>
          <w:p>
            <w:r>
              <w:t>Which Mongo identity</w:t>
            </w:r>
          </w:p>
        </w:tc>
        <w:tc>
          <w:tcPr>
            <w:tcW w:type="dxa" w:w="2880"/>
          </w:tcPr>
          <w:p>
            <w:r>
              <w:t>connectionStatus returns the authenticated user; assert it equals the requested role</w:t>
            </w:r>
          </w:p>
        </w:tc>
        <w:tc>
          <w:tcPr>
            <w:tcW w:type="dxa" w:w="2880"/>
          </w:tcPr>
          <w:p>
            <w:r>
              <w:t>CN verified BEFORE connect — proves what was presented, not what the server accepted</w:t>
            </w:r>
          </w:p>
        </w:tc>
      </w:tr>
    </w:tbl>
    <w:p/>
    <w:p>
      <w:r>
        <w:rPr>
          <w:b/>
          <w:i w:val="0"/>
        </w:rPr>
        <w:t>DefaultAzureCredential must be removed. It resolves through a priority chain ending at the Azure CLI session, so a test running while the operator is logged in as deployment manager silently authenticates as the operator, passes, and proves nothing about the constrained identity.</w:t>
      </w:r>
    </w:p>
    <w:p>
      <w:pPr>
        <w:pStyle w:val="Heading1"/>
      </w:pPr>
      <w:r>
        <w:t>10. Verification at the pytest level</w:t>
      </w:r>
    </w:p>
    <w:p>
      <w:r>
        <w:rPr>
          <w:b w:val="0"/>
          <w:i w:val="0"/>
        </w:rPr>
        <w:t>Expected values are literals in the test, so drift is caught by comparison against a declared contract rather than against whatever the code computed about itself. A self-check inside getConnection is the defendant vouching for himself.</w:t>
      </w:r>
    </w:p>
    <w:p>
      <w:r>
        <w:rPr>
          <w:b w:val="0"/>
          <w:i w:val="0"/>
        </w:rPr>
        <w:t>Anchor test: pipeline/Code/tests/test_fatal_errors.py — the only test traversing vault, credential, Mongo, metadata write and email.</w:t>
      </w:r>
    </w:p>
    <w:p>
      <w:r>
        <w:rPr>
          <w:b w:val="0"/>
          <w:i w:val="0"/>
        </w:rPr>
        <w:t>Positive assertions:</w:t>
      </w:r>
    </w:p>
    <w:p>
      <w:pPr>
        <w:pStyle w:val="ListBullet"/>
      </w:pPr>
      <w:r>
        <w:t>Azure token appid equals the constrained principal.</w:t>
      </w:r>
    </w:p>
    <w:p>
      <w:pPr>
        <w:pStyle w:val="ListBullet"/>
      </w:pPr>
      <w:r>
        <w:t>Resolved Mongo host and replica set match the declared logical target.</w:t>
      </w:r>
    </w:p>
    <w:p>
      <w:pPr>
        <w:pStyle w:val="ListBullet"/>
      </w:pPr>
      <w:r>
        <w:t>connectionStatus authenticated user equals the requested role.</w:t>
      </w:r>
    </w:p>
    <w:p>
      <w:pPr>
        <w:pStyle w:val="ListBullet"/>
      </w:pPr>
      <w:r>
        <w:t>The documents landed in Pipelines with the expected values.</w:t>
      </w:r>
    </w:p>
    <w:p>
      <w:r>
        <w:rPr>
          <w:b/>
          <w:i w:val="0"/>
        </w:rPr>
        <w:t>Negative assertions — these are what prove containment. A superuser produces identical green on the positive path:</w:t>
      </w:r>
    </w:p>
    <w:p>
      <w:pPr>
        <w:pStyle w:val="ListBullet"/>
      </w:pPr>
      <w:r>
        <w:t>pipelineEditor fetching another identity's key — Azure refuses.</w:t>
      </w:r>
    </w:p>
    <w:p>
      <w:pPr>
        <w:pStyle w:val="ListBullet"/>
      </w:pPr>
      <w:r>
        <w:t>pipelineEditor writing PublicHealthData — Mongo refuses.</w:t>
      </w:r>
    </w:p>
    <w:p>
      <w:pPr>
        <w:pStyle w:val="ListBullet"/>
      </w:pPr>
      <w:r>
        <w:t>frontendUser writing anything — Mongo refuses.</w:t>
      </w:r>
    </w:p>
    <w:p>
      <w:pPr>
        <w:pStyle w:val="ListBullet"/>
      </w:pPr>
      <w:r>
        <w:t>frontendUser reading Pipelines — Mongo refuses.</w:t>
      </w:r>
    </w:p>
    <w:p>
      <w:r>
        <w:rPr>
          <w:b w:val="0"/>
          <w:i w:val="0"/>
        </w:rPr>
        <w:t>Standing defect: the anchor test currently asserts only that no exception was raised. It returned green across two versions of the code that behaved differently. Until it asserts outcomes, green means nothing.</w:t>
      </w:r>
    </w:p>
    <w:p>
      <w:pPr>
        <w:pStyle w:val="Heading1"/>
      </w:pPr>
      <w:r>
        <w:t>11. Acceptance — platform configuration and platform logs</w:t>
      </w:r>
    </w:p>
    <w:p>
      <w:r>
        <w:rPr>
          <w:b w:val="0"/>
          <w:i w:val="0"/>
        </w:rPr>
        <w:t>Done is not 'merged and green'. Done is evidence the operator can obtain without Claude.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Evidence</w:t>
            </w:r>
          </w:p>
        </w:tc>
        <w:tc>
          <w:tcPr>
            <w:tcW w:type="dxa" w:w="2880"/>
          </w:tcPr>
          <w:p>
            <w:r/>
            <w:r>
              <w:rPr>
                <w:b/>
              </w:rPr>
              <w:t>Source</w:t>
            </w:r>
          </w:p>
        </w:tc>
        <w:tc>
          <w:tcPr>
            <w:tcW w:type="dxa" w:w="2880"/>
          </w:tcPr>
          <w:p>
            <w:r/>
            <w:r>
              <w:rPr>
                <w:b/>
              </w:rPr>
              <w:t>Trustworthy?</w:t>
            </w:r>
          </w:p>
        </w:tc>
      </w:tr>
      <w:tr>
        <w:tc>
          <w:tcPr>
            <w:tcW w:type="dxa" w:w="2880"/>
          </w:tcPr>
          <w:p>
            <w:r>
              <w:t>Role assignments per principal and per secret</w:t>
            </w:r>
          </w:p>
        </w:tc>
        <w:tc>
          <w:tcPr>
            <w:tcW w:type="dxa" w:w="2880"/>
          </w:tcPr>
          <w:p>
            <w:r>
              <w:t>az role assignment list</w:t>
            </w:r>
          </w:p>
        </w:tc>
        <w:tc>
          <w:tcPr>
            <w:tcW w:type="dxa" w:w="2880"/>
          </w:tcPr>
          <w:p>
            <w:r>
              <w:t>Yes — platform config</w:t>
            </w:r>
          </w:p>
        </w:tc>
      </w:tr>
      <w:tr>
        <w:tc>
          <w:tcPr>
            <w:tcW w:type="dxa" w:w="2880"/>
          </w:tcPr>
          <w:p>
            <w:r>
              <w:t>Atlas custom roles and user mappings</w:t>
            </w:r>
          </w:p>
        </w:tc>
        <w:tc>
          <w:tcPr>
            <w:tcW w:type="dxa" w:w="2880"/>
          </w:tcPr>
          <w:p>
            <w:r>
              <w:t>Atlas project settings</w:t>
            </w:r>
          </w:p>
        </w:tc>
        <w:tc>
          <w:tcPr>
            <w:tcW w:type="dxa" w:w="2880"/>
          </w:tcPr>
          <w:p>
            <w:r>
              <w:t>Yes — platform config</w:t>
            </w:r>
          </w:p>
        </w:tc>
      </w:tr>
      <w:tr>
        <w:tc>
          <w:tcPr>
            <w:tcW w:type="dxa" w:w="2880"/>
          </w:tcPr>
          <w:p>
            <w:r>
              <w:t>Which principal fetched which secret, and refusals</w:t>
            </w:r>
          </w:p>
        </w:tc>
        <w:tc>
          <w:tcPr>
            <w:tcW w:type="dxa" w:w="2880"/>
          </w:tcPr>
          <w:p>
            <w:r>
              <w:t>Key Vault audit events</w:t>
            </w:r>
          </w:p>
        </w:tc>
        <w:tc>
          <w:tcPr>
            <w:tcW w:type="dxa" w:w="2880"/>
          </w:tcPr>
          <w:p>
            <w:r>
              <w:t>Yes — platform log</w:t>
            </w:r>
          </w:p>
        </w:tc>
      </w:tr>
      <w:tr>
        <w:tc>
          <w:tcPr>
            <w:tcW w:type="dxa" w:w="2880"/>
          </w:tcPr>
          <w:p>
            <w:r>
              <w:t>Allowed and refused database operations</w:t>
            </w:r>
          </w:p>
        </w:tc>
        <w:tc>
          <w:tcPr>
            <w:tcW w:type="dxa" w:w="2880"/>
          </w:tcPr>
          <w:p>
            <w:r>
              <w:t>Atlas database audit log</w:t>
            </w:r>
          </w:p>
        </w:tc>
        <w:tc>
          <w:tcPr>
            <w:tcW w:type="dxa" w:w="2880"/>
          </w:tcPr>
          <w:p>
            <w:r>
              <w:t>Yes — platform log</w:t>
            </w:r>
          </w:p>
        </w:tc>
      </w:tr>
      <w:tr>
        <w:tc>
          <w:tcPr>
            <w:tcW w:type="dxa" w:w="2880"/>
          </w:tcPr>
          <w:p>
            <w:r>
              <w:t>Documents present with correct values</w:t>
            </w:r>
          </w:p>
        </w:tc>
        <w:tc>
          <w:tcPr>
            <w:tcW w:type="dxa" w:w="2880"/>
          </w:tcPr>
          <w:p>
            <w:r>
              <w:t>Direct query of Pipelines</w:t>
            </w:r>
          </w:p>
        </w:tc>
        <w:tc>
          <w:tcPr>
            <w:tcW w:type="dxa" w:w="2880"/>
          </w:tcPr>
          <w:p>
            <w:r>
              <w:t>Yes — observable</w:t>
            </w:r>
          </w:p>
        </w:tc>
      </w:tr>
      <w:tr>
        <w:tc>
          <w:tcPr>
            <w:tcW w:type="dxa" w:w="2880"/>
          </w:tcPr>
          <w:p>
            <w:r>
              <w:t>The discrepancy report email</w:t>
            </w:r>
          </w:p>
        </w:tc>
        <w:tc>
          <w:tcPr>
            <w:tcW w:type="dxa" w:w="2880"/>
          </w:tcPr>
          <w:p>
            <w:r>
              <w:t>Operator inbox</w:t>
            </w:r>
          </w:p>
        </w:tc>
        <w:tc>
          <w:tcPr>
            <w:tcW w:type="dxa" w:w="2880"/>
          </w:tcPr>
          <w:p>
            <w:r>
              <w:t>Yes — left the system</w:t>
            </w:r>
          </w:p>
        </w:tc>
      </w:tr>
      <w:tr>
        <w:tc>
          <w:tcPr>
            <w:tcW w:type="dxa" w:w="2880"/>
          </w:tcPr>
          <w:p>
            <w:r>
              <w:t>ChatHealthyLoggingService output</w:t>
            </w:r>
          </w:p>
        </w:tc>
        <w:tc>
          <w:tcPr>
            <w:tcW w:type="dxa" w:w="2880"/>
          </w:tcPr>
          <w:p>
            <w:r>
              <w:t>Pipelines.Log_{env}</w:t>
            </w:r>
          </w:p>
        </w:tc>
        <w:tc>
          <w:tcPr>
            <w:tcW w:type="dxa" w:w="2880"/>
          </w:tcPr>
          <w:p>
            <w:r>
              <w:t>NO — authored by the actor</w:t>
            </w:r>
          </w:p>
        </w:tc>
      </w:tr>
      <w:tr>
        <w:tc>
          <w:tcPr>
            <w:tcW w:type="dxa" w:w="2880"/>
          </w:tcPr>
          <w:p>
            <w:r>
              <w:t>A passing pytest</w:t>
            </w:r>
          </w:p>
        </w:tc>
        <w:tc>
          <w:tcPr>
            <w:tcW w:type="dxa" w:w="2880"/>
          </w:tcPr>
          <w:p>
            <w:r>
              <w:t>pytest</w:t>
            </w:r>
          </w:p>
        </w:tc>
        <w:tc>
          <w:tcPr>
            <w:tcW w:type="dxa" w:w="2880"/>
          </w:tcPr>
          <w:p>
            <w:r>
              <w:t>NO — provokes evidence, is not evidence</w:t>
            </w:r>
          </w:p>
        </w:tc>
      </w:tr>
      <w:tr>
        <w:tc>
          <w:tcPr>
            <w:tcW w:type="dxa" w:w="2880"/>
          </w:tcPr>
          <w:p>
            <w:r>
              <w:t>Source code review</w:t>
            </w:r>
          </w:p>
        </w:tc>
        <w:tc>
          <w:tcPr>
            <w:tcW w:type="dxa" w:w="2880"/>
          </w:tcPr>
          <w:p>
            <w:r>
              <w:t>repo</w:t>
            </w:r>
          </w:p>
        </w:tc>
        <w:tc>
          <w:tcPr>
            <w:tcW w:type="dxa" w:w="2880"/>
          </w:tcPr>
          <w:p>
            <w:r>
              <w:t>NO — the artefact under suspicion</w:t>
            </w:r>
          </w:p>
        </w:tc>
      </w:tr>
    </w:tbl>
    <w:p/>
    <w:p>
      <w:r>
        <w:rPr>
          <w:b/>
          <w:i w:val="0"/>
        </w:rPr>
        <w:t>PREREQUISITE: both platform logs must be switched on to exist. Key Vault diagnostic settings must route to Log Analytics and Atlas audit logging is a cluster-level setting. If either is off the enforcement can be perfect and be invisible, which under this threat model is indistinguishable from absent. NOT YET VERIFIED.</w:t>
      </w:r>
    </w:p>
    <w:p>
      <w:pPr>
        <w:pStyle w:val="Heading1"/>
      </w:pPr>
      <w:r>
        <w:t>12. Sequencing — two independent tracks</w:t>
      </w:r>
    </w:p>
    <w:p>
      <w:r>
        <w:rPr>
          <w:b/>
          <w:i w:val="0"/>
        </w:rPr>
        <w:t>Production has been down for over a week. The downtime began as a business decision but is a real outage with real cost. Restoration MUST NOT be gated on the identity work, which is days of effort. The two tracks run in parallel and meet at a deliberate cutover.</w:t>
      </w:r>
    </w:p>
    <w:p>
      <w:pPr>
        <w:pStyle w:val="Heading2"/>
      </w:pPr>
      <w:r>
        <w:t>12.0 Immediate — blocks nothing, costs minutes</w:t>
      </w:r>
    </w:p>
    <w:p>
      <w:pPr>
        <w:pStyle w:val="ListNumber"/>
      </w:pPr>
      <w:r>
        <w:t>Reduce the Owner credential. Operator-performed, from an account Claude does not hold.</w:t>
      </w:r>
    </w:p>
    <w:p>
      <w:pPr>
        <w:pStyle w:val="ListNumber"/>
      </w:pPr>
      <w:r>
        <w:t>Enable Key Vault purge protection. Irreversible once set.</w:t>
      </w:r>
    </w:p>
    <w:p>
      <w:pPr>
        <w:pStyle w:val="ListNumber"/>
      </w:pPr>
      <w:r>
        <w:t>Establish what backup coverage exists on both clusters. Only the non-reproducible data needs it: curated judgment such as the manual NUCC allow/deny list, ChatHealthyConfig including CertificateRegistry, and Users. Provider, taxonomy and geographic data are derived from NPPES, NUCC and USDA and are re-runnable.</w:t>
      </w:r>
    </w:p>
    <w:p>
      <w:pPr>
        <w:pStyle w:val="Heading2"/>
      </w:pPr>
      <w:r>
        <w:t>12.A Track A — restore service on the current wiring</w:t>
      </w:r>
    </w:p>
    <w:p>
      <w:r>
        <w:rPr>
          <w:b w:val="0"/>
          <w:i w:val="0"/>
        </w:rPr>
        <w:t>Pre-alpha with derived data. Restoring on today's connection model leaves no worse exposure than existed before the outage.</w:t>
      </w:r>
    </w:p>
    <w:p>
      <w:pPr>
        <w:pStyle w:val="ListNumber"/>
      </w:pPr>
      <w:r>
        <w:t>DIAGNOSE FIRST. Establish whether this is missing data, a name mismatch, or a code defect. The frontend cluster holds PublicHealthData with provider_v03 and SpecialtyMetaData, and qa_PublicHealthData with providers and SpecialtyMetaData. If serving code reads a name that does not match what exists, this is configuration, not data loss.</w:t>
      </w:r>
    </w:p>
    <w:p>
      <w:pPr>
        <w:pStyle w:val="ListNumber"/>
      </w:pPr>
      <w:r>
        <w:t>Confirm the front end can connect at all. 38 call sites pass arguments to a ChatHealthyMongoUtilities constructor accepting none, raising TypeError before reaching the network — including runtime_data_collections.py. If any sit in serving paths the application is down for that reason regardless of data.</w:t>
      </w:r>
    </w:p>
    <w:p>
      <w:pPr>
        <w:pStyle w:val="ListNumber"/>
      </w:pPr>
      <w:r>
        <w:t>Apply the smallest fix the diagnosis supports. Rebuild derived data only if genuinely absent; that path needs the pipeline cluster awake.</w:t>
      </w:r>
    </w:p>
    <w:p>
      <w:pPr>
        <w:pStyle w:val="Heading2"/>
      </w:pPr>
      <w:r>
        <w:t>12.B Track B — build the identity model in parallel</w:t>
      </w:r>
    </w:p>
    <w:p>
      <w:pPr>
        <w:pStyle w:val="ListNumber"/>
      </w:pPr>
      <w:r>
        <w:t>Stand up the two Windows users, or two machines, and the two projects.</w:t>
      </w:r>
    </w:p>
    <w:p>
      <w:pPr>
        <w:pStyle w:val="ListNumber"/>
      </w:pPr>
      <w:r>
        <w:t>Verify Key Vault diagnostics and Atlas audit logging are producing records. Without them the enforcement can be perfect and invisible.</w:t>
      </w:r>
    </w:p>
    <w:p>
      <w:pPr>
        <w:pStyle w:val="ListNumber"/>
      </w:pPr>
      <w:r>
        <w:t>Create the three identities: Azure principals, per-secret role assignments, Atlas X.509 users, Atlas custom roles.</w:t>
      </w:r>
    </w:p>
    <w:p>
      <w:pPr>
        <w:pStyle w:val="ListNumber"/>
      </w:pPr>
      <w:r>
        <w:t>Introduce getConnection(role, cluster) as a behavioural no-op; fix the call sites once, each declaring its real target. No dependency on Track A.</w:t>
      </w:r>
    </w:p>
    <w:p>
      <w:pPr>
        <w:pStyle w:val="ListNumber"/>
      </w:pPr>
      <w:r>
        <w:t>Add the pytest assertions to the anchor test. Positive assertions can be written immediately; the negative ones require the identities to exist.</w:t>
      </w:r>
    </w:p>
    <w:p>
      <w:pPr>
        <w:pStyle w:val="ListNumber"/>
      </w:pPr>
      <w:r>
        <w:t>Tighten the grants to the table in section 5, including read-only frontendUser.</w:t>
      </w:r>
    </w:p>
    <w:p>
      <w:pPr>
        <w:pStyle w:val="Heading2"/>
      </w:pPr>
      <w:r>
        <w:t>12.C Cutover</w:t>
      </w:r>
    </w:p>
    <w:p>
      <w:r>
        <w:rPr>
          <w:b w:val="0"/>
          <w:i w:val="0"/>
        </w:rPr>
        <w:t>Deliberate, and only when Track B is tested. Change routing and enable mTLS last and alone — never combined with call-site edits, an auth rewrite, or a restoration.</w:t>
      </w:r>
    </w:p>
    <w:p>
      <w:r>
        <w:rPr>
          <w:b w:val="0"/>
          <w:i w:val="0"/>
        </w:rPr>
        <w:t>If restoration in Track A has not yet happened when Track B completes, load the data through dataTransferAgent. The first real load then doubles as the acceptance test: if pipelineEditor or frontendUser can also write PublicHealthData, the negative tests fail before there is anything to lose.</w:t>
      </w:r>
    </w:p>
    <w:p>
      <w:pPr>
        <w:pStyle w:val="Heading1"/>
      </w:pPr>
      <w:r>
        <w:t>13. Open questions</w:t>
      </w:r>
    </w:p>
    <w:p>
      <w:pPr>
        <w:pStyle w:val="ListBullet"/>
      </w:pPr>
      <w:r>
        <w:t>Recovery scope. What data is missing has not been established. The design does not assume it knows.</w:t>
      </w:r>
    </w:p>
    <w:p>
      <w:pPr>
        <w:pStyle w:val="ListBullet"/>
      </w:pPr>
      <w:r>
        <w:t>Whether Atlas audit logging and Key Vault diagnostics are currently enabled.</w:t>
      </w:r>
    </w:p>
    <w:p>
      <w:pPr>
        <w:pStyle w:val="ListBullet"/>
      </w:pPr>
      <w:r>
        <w:t>Whether the Atlas estate is one project or two, and what X.509 users exist today.</w:t>
      </w:r>
    </w:p>
    <w:p>
      <w:pPr>
        <w:pStyle w:val="ListBullet"/>
      </w:pPr>
      <w:r>
        <w:t>CertificateRegistry currently lives in Mongo and is read over a standing connection string before any certificate exists — a super-credential upstream of every identity, and a dependency on a cluster being awake in order to learn how to connect to any cluster. Moving it into Key Vault removes all three problems. Not yet scheduled.</w:t>
      </w:r>
    </w:p>
    <w:p>
      <w:pPr>
        <w:pStyle w:val="ListBullet"/>
      </w:pPr>
      <w:r>
        <w:t>HuggingFace is OUT OF SCOPE by operator direction until pipelines are fixed.</w:t>
      </w:r>
    </w:p>
    <w:p>
      <w:pPr>
        <w:pStyle w:val="Heading1"/>
      </w:pPr>
      <w:r>
        <w:t>14. Known defects this design does not by itself fix</w:t>
      </w:r>
    </w:p>
    <w:p>
      <w:pPr>
        <w:pStyle w:val="ListBullet"/>
      </w:pPr>
      <w:r>
        <w:t>commitSignificantActivity builds its target database and collection from the request payload and inserts. An arbitrary-write primitive driven by caller data. Whether it is LLM-invokable is NOT yet confirmed.</w:t>
      </w:r>
    </w:p>
    <w:p>
      <w:pPr>
        <w:pStyle w:val="ListBullet"/>
      </w:pPr>
      <w:r>
        <w:t>38 call sites pass parameters to a ChatHealthyMongoUtilities constructor that accepts none, raising TypeError before reaching the network — including the library's own runtime_data_collections.py.</w:t>
      </w:r>
    </w:p>
    <w:p>
      <w:pPr>
        <w:pStyle w:val="ListBullet"/>
      </w:pPr>
      <w:r>
        <w:t>37 code sites still build env-prefixed database names. Two loaders hardcode literal 'dev_' with no environment variable, so a qa or prod run writes into dev_PublicHealthData.</w:t>
      </w:r>
    </w:p>
    <w:p>
      <w:pPr>
        <w:pStyle w:val="ListBullet"/>
      </w:pPr>
      <w:r>
        <w:t>Metadata still written to four databases besides Pipelines; three logical collections have two homes each.</w:t>
      </w:r>
    </w:p>
    <w:p>
      <w:pPr>
        <w:pStyle w:val="ListBullet"/>
      </w:pPr>
      <w:r>
        <w:t>Two health probes share the substrate they are meant to check, so a deliberately paused cluster passes the gate identically to a broken one.</w:t>
      </w:r>
    </w:p>
    <w:p>
      <w:pPr>
        <w:pStyle w:val="ListBullet"/>
      </w:pPr>
      <w:r>
        <w:t>Provider Detail writes provider records from the front end by approved requirement (EPIC-006-F-025-S-002). It breaks the moment frontendUser becomes read-only. This is a collision between the security model and an approved specification and needs an operator decision, not a code fix.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